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4FF" w:rsidRDefault="003114FF" w:rsidP="002100DD">
      <w:pPr>
        <w:rPr>
          <w:b/>
          <w:sz w:val="28"/>
          <w:szCs w:val="28"/>
          <w:u w:val="single"/>
        </w:rPr>
      </w:pPr>
      <w:r>
        <w:rPr>
          <w:b/>
          <w:noProof/>
          <w:sz w:val="24"/>
          <w:szCs w:val="24"/>
          <w:u w:val="single"/>
          <w:lang w:eastAsia="en-GB"/>
        </w:rPr>
        <w:drawing>
          <wp:anchor distT="0" distB="0" distL="114300" distR="114300" simplePos="0" relativeHeight="251658240" behindDoc="0" locked="0" layoutInCell="1" allowOverlap="1" wp14:anchorId="70DF7AFC" wp14:editId="487DFF7F">
            <wp:simplePos x="0" y="0"/>
            <wp:positionH relativeFrom="page">
              <wp:posOffset>885825</wp:posOffset>
            </wp:positionH>
            <wp:positionV relativeFrom="paragraph">
              <wp:posOffset>-72390</wp:posOffset>
            </wp:positionV>
            <wp:extent cx="2295525" cy="124333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95525" cy="1243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100DD" w:rsidRPr="008E1885" w:rsidRDefault="002100DD" w:rsidP="002100DD">
      <w:pPr>
        <w:rPr>
          <w:b/>
          <w:sz w:val="28"/>
          <w:szCs w:val="28"/>
          <w:u w:val="single"/>
        </w:rPr>
      </w:pPr>
      <w:r>
        <w:rPr>
          <w:b/>
          <w:sz w:val="28"/>
          <w:szCs w:val="28"/>
          <w:u w:val="single"/>
        </w:rPr>
        <w:t>R</w:t>
      </w:r>
      <w:r w:rsidRPr="008E1885">
        <w:rPr>
          <w:b/>
          <w:sz w:val="28"/>
          <w:szCs w:val="28"/>
          <w:u w:val="single"/>
        </w:rPr>
        <w:t>esources</w:t>
      </w:r>
      <w:r>
        <w:rPr>
          <w:b/>
          <w:sz w:val="28"/>
          <w:szCs w:val="28"/>
          <w:u w:val="single"/>
        </w:rPr>
        <w:t xml:space="preserve"> ‘close others’ may find helpful</w:t>
      </w:r>
    </w:p>
    <w:p w:rsidR="002100DD" w:rsidRDefault="002100DD" w:rsidP="002100DD">
      <w:r w:rsidRPr="00292064">
        <w:rPr>
          <w:b/>
          <w:u w:val="single"/>
        </w:rPr>
        <w:t>Talk to Frank</w:t>
      </w:r>
      <w:r>
        <w:rPr>
          <w:b/>
        </w:rPr>
        <w:t xml:space="preserve"> </w:t>
      </w:r>
      <w:r>
        <w:t>is a website that gives information on a wide range of topics and has a ‘Find support near you’ option that gives details of advice and treatment services – both for those using substances and for close others</w:t>
      </w:r>
      <w:r w:rsidR="003114FF">
        <w:t>.</w:t>
      </w:r>
      <w:r>
        <w:t xml:space="preserve">                                                                  </w:t>
      </w:r>
      <w:r w:rsidRPr="0089211F">
        <w:t>http://www.talktofrank.com/</w:t>
      </w:r>
    </w:p>
    <w:p w:rsidR="002100DD" w:rsidRPr="00292064" w:rsidRDefault="002100DD" w:rsidP="002100DD">
      <w:pPr>
        <w:rPr>
          <w:u w:val="single"/>
        </w:rPr>
      </w:pPr>
      <w:r w:rsidRPr="00292064">
        <w:rPr>
          <w:b/>
          <w:u w:val="single"/>
        </w:rPr>
        <w:t xml:space="preserve">ADFAM                                                                                                           </w:t>
      </w:r>
    </w:p>
    <w:p w:rsidR="002100DD" w:rsidRDefault="002100DD" w:rsidP="002100DD">
      <w:r>
        <w:t xml:space="preserve">This is a website and an agency devoted to help for families and close others. Its website provides very useful information which includes advice, briefings, and the ability to search for support groups for ‘close others’ in their own areas.                                                         </w:t>
      </w:r>
      <w:r w:rsidRPr="00D67C5B">
        <w:t>http://www.adfam.org.uk/home</w:t>
      </w:r>
    </w:p>
    <w:p w:rsidR="002100DD" w:rsidRPr="00292064" w:rsidRDefault="002100DD" w:rsidP="002100DD">
      <w:pPr>
        <w:rPr>
          <w:b/>
          <w:u w:val="single"/>
        </w:rPr>
      </w:pPr>
      <w:r w:rsidRPr="00292064">
        <w:rPr>
          <w:b/>
          <w:u w:val="single"/>
        </w:rPr>
        <w:t>Rehabilitation units</w:t>
      </w:r>
    </w:p>
    <w:p w:rsidR="002100DD" w:rsidRDefault="002100DD" w:rsidP="002100DD">
      <w:r w:rsidRPr="003114FF">
        <w:t>This is a website that allows you to ‘search’ for different rehabilitation units, though of course funding to take up a place has to be considered separately and arranged through medical or Social Services funding</w:t>
      </w:r>
      <w:r w:rsidR="003114FF" w:rsidRPr="003114FF">
        <w:t>.</w:t>
      </w:r>
      <w:r w:rsidRPr="003114FF">
        <w:t xml:space="preserve">                                                                                         </w:t>
      </w:r>
      <w:hyperlink r:id="rId7" w:history="1">
        <w:r w:rsidRPr="00885996">
          <w:rPr>
            <w:rStyle w:val="Hyperlink"/>
          </w:rPr>
          <w:t>http://www.rehab-online.org.uk/</w:t>
        </w:r>
      </w:hyperlink>
    </w:p>
    <w:p w:rsidR="002100DD" w:rsidRDefault="002100DD" w:rsidP="002100DD">
      <w:r w:rsidRPr="00292064">
        <w:rPr>
          <w:b/>
          <w:u w:val="single"/>
        </w:rPr>
        <w:t>QAAD</w:t>
      </w:r>
      <w:r w:rsidRPr="002100DD">
        <w:rPr>
          <w:b/>
        </w:rPr>
        <w:t xml:space="preserve"> </w:t>
      </w:r>
      <w:r>
        <w:t>has produced a ‘Resources’ leaflet with some detailed references relating to problems with specific substances or with gambling.</w:t>
      </w:r>
    </w:p>
    <w:p w:rsidR="002100DD" w:rsidRDefault="002100DD" w:rsidP="002100DD">
      <w:r>
        <w:t>QAAD also maintains a confidential list of Friends who have been personally affected by addiction and are willing to offer some support to others.  More information can b</w:t>
      </w:r>
      <w:r w:rsidR="0068736C">
        <w:t>e obtained from Alison Mather</w:t>
      </w:r>
      <w:bookmarkStart w:id="0" w:name="_GoBack"/>
      <w:bookmarkEnd w:id="0"/>
      <w:r w:rsidR="00F35579">
        <w:t>.</w:t>
      </w:r>
    </w:p>
    <w:p w:rsidR="002100DD" w:rsidRPr="002100DD" w:rsidRDefault="002100DD" w:rsidP="002100DD">
      <w:pPr>
        <w:rPr>
          <w:b/>
          <w:u w:val="single"/>
        </w:rPr>
      </w:pPr>
      <w:r w:rsidRPr="002100DD">
        <w:rPr>
          <w:b/>
          <w:u w:val="single"/>
        </w:rPr>
        <w:t>Spiritual approaches that Friends have found helpful</w:t>
      </w:r>
    </w:p>
    <w:p w:rsidR="002100DD" w:rsidRPr="00292064" w:rsidRDefault="002100DD" w:rsidP="002100DD">
      <w:r w:rsidRPr="00292064">
        <w:t>Quaker Meetings and Quakers</w:t>
      </w:r>
    </w:p>
    <w:p w:rsidR="002100DD" w:rsidRPr="00292064" w:rsidRDefault="002100DD" w:rsidP="002100DD">
      <w:r w:rsidRPr="00292064">
        <w:t>Friends have also gained insights from other traditions</w:t>
      </w:r>
      <w:r w:rsidR="00292064" w:rsidRPr="00292064">
        <w:t xml:space="preserve">.  Some Friends have found </w:t>
      </w:r>
      <w:r w:rsidRPr="00292064">
        <w:t xml:space="preserve">the book ‘When Things Fall Apart’ by the Buddhist nun Pema Chodron </w:t>
      </w:r>
      <w:r w:rsidR="00292064" w:rsidRPr="00292064">
        <w:t>to be particularly relevant to addiction.</w:t>
      </w:r>
      <w:r w:rsidR="00353E84">
        <w:t xml:space="preserve">  Mindfulness can be a particularly helpful in dealing with the extreme anxiety about a loved one who may be at risk. </w:t>
      </w:r>
    </w:p>
    <w:p w:rsidR="002100DD" w:rsidRPr="00292064" w:rsidRDefault="002100DD" w:rsidP="002100DD">
      <w:r w:rsidRPr="00292064">
        <w:t>The London Buddhist Centre</w:t>
      </w:r>
      <w:r w:rsidR="00292064" w:rsidRPr="00292064">
        <w:t xml:space="preserve"> and the associated ‘Breathing Space’ group</w:t>
      </w:r>
      <w:r w:rsidRPr="00292064">
        <w:t xml:space="preserve"> offers</w:t>
      </w:r>
      <w:r w:rsidR="00292064" w:rsidRPr="00292064">
        <w:t xml:space="preserve"> mindfulness courses for those experiencing problems with substances     </w:t>
      </w:r>
      <w:r w:rsidR="00353E84">
        <w:t xml:space="preserve">        </w:t>
      </w:r>
      <w:r w:rsidR="00292064" w:rsidRPr="00292064">
        <w:t>http//www.lbc.org.uk/breathingspace.htm</w:t>
      </w:r>
    </w:p>
    <w:p w:rsidR="002100DD" w:rsidRDefault="002100DD" w:rsidP="002100DD">
      <w:pPr>
        <w:rPr>
          <w:b/>
          <w:u w:val="single"/>
        </w:rPr>
      </w:pPr>
      <w:r w:rsidRPr="002100DD">
        <w:rPr>
          <w:b/>
        </w:rPr>
        <w:t xml:space="preserve"> </w:t>
      </w:r>
      <w:r w:rsidR="00292064" w:rsidRPr="00292064">
        <w:rPr>
          <w:b/>
          <w:u w:val="single"/>
        </w:rPr>
        <w:t xml:space="preserve">The </w:t>
      </w:r>
      <w:r w:rsidRPr="00292064">
        <w:rPr>
          <w:b/>
          <w:u w:val="single"/>
        </w:rPr>
        <w:t xml:space="preserve">12 Step </w:t>
      </w:r>
      <w:r w:rsidR="00292064">
        <w:rPr>
          <w:b/>
          <w:u w:val="single"/>
        </w:rPr>
        <w:t>‘</w:t>
      </w:r>
      <w:r w:rsidR="00292064" w:rsidRPr="00292064">
        <w:rPr>
          <w:b/>
          <w:u w:val="single"/>
        </w:rPr>
        <w:t>Anonymous</w:t>
      </w:r>
      <w:r w:rsidR="00292064">
        <w:rPr>
          <w:b/>
          <w:u w:val="single"/>
        </w:rPr>
        <w:t>’</w:t>
      </w:r>
      <w:r w:rsidR="00292064" w:rsidRPr="00292064">
        <w:rPr>
          <w:b/>
          <w:u w:val="single"/>
        </w:rPr>
        <w:t xml:space="preserve"> Groups</w:t>
      </w:r>
      <w:r w:rsidRPr="00292064">
        <w:rPr>
          <w:b/>
          <w:u w:val="single"/>
        </w:rPr>
        <w:t xml:space="preserve"> </w:t>
      </w:r>
    </w:p>
    <w:p w:rsidR="00292064" w:rsidRPr="00292064" w:rsidRDefault="00292064" w:rsidP="002100DD">
      <w:r w:rsidRPr="00292064">
        <w:t>Al Anon, Families Anonymous and other associated 12 Step groups offer both support services in the form of helplines and local groups based on the spiritual 12 Step programme of recovery</w:t>
      </w:r>
      <w:r w:rsidR="008303BF">
        <w:t>.</w:t>
      </w:r>
    </w:p>
    <w:p w:rsidR="002100DD" w:rsidRPr="00A15E25" w:rsidRDefault="002100DD" w:rsidP="002100DD">
      <w:pPr>
        <w:pStyle w:val="Heading2"/>
        <w:rPr>
          <w:rFonts w:asciiTheme="minorHAnsi" w:eastAsia="Times New Roman" w:hAnsiTheme="minorHAnsi" w:cs="Times New Roman"/>
          <w:bCs/>
          <w:color w:val="auto"/>
          <w:sz w:val="24"/>
          <w:szCs w:val="24"/>
          <w:lang w:eastAsia="en-GB"/>
        </w:rPr>
      </w:pPr>
      <w:r w:rsidRPr="00A15E25">
        <w:rPr>
          <w:rFonts w:asciiTheme="minorHAnsi" w:hAnsiTheme="minorHAnsi"/>
          <w:color w:val="auto"/>
          <w:sz w:val="24"/>
          <w:szCs w:val="24"/>
        </w:rPr>
        <w:t xml:space="preserve">Al Anon </w:t>
      </w:r>
      <w:r w:rsidRPr="00A15E25">
        <w:rPr>
          <w:rFonts w:asciiTheme="minorHAnsi" w:eastAsia="Times New Roman" w:hAnsiTheme="minorHAnsi" w:cs="Times New Roman"/>
          <w:bCs/>
          <w:color w:val="auto"/>
          <w:sz w:val="24"/>
          <w:szCs w:val="24"/>
          <w:lang w:eastAsia="en-GB"/>
        </w:rPr>
        <w:t>020 7403 0888</w:t>
      </w:r>
      <w:r>
        <w:rPr>
          <w:rFonts w:asciiTheme="minorHAnsi" w:eastAsia="Times New Roman" w:hAnsiTheme="minorHAnsi" w:cs="Times New Roman"/>
          <w:bCs/>
          <w:color w:val="auto"/>
          <w:sz w:val="24"/>
          <w:szCs w:val="24"/>
          <w:lang w:eastAsia="en-GB"/>
        </w:rPr>
        <w:t xml:space="preserve">  </w:t>
      </w:r>
      <w:r w:rsidRPr="00A15E25">
        <w:rPr>
          <w:rFonts w:asciiTheme="minorHAnsi" w:eastAsia="Times New Roman" w:hAnsiTheme="minorHAnsi" w:cs="Times New Roman"/>
          <w:bCs/>
          <w:color w:val="auto"/>
          <w:sz w:val="24"/>
          <w:szCs w:val="24"/>
          <w:lang w:eastAsia="en-GB"/>
        </w:rPr>
        <w:t>http://www.al-anonuk.org.uk/</w:t>
      </w:r>
    </w:p>
    <w:p w:rsidR="002100DD" w:rsidRDefault="002100DD" w:rsidP="002100DD">
      <w:r>
        <w:t xml:space="preserve">Families Anonymous  </w:t>
      </w:r>
      <w:hyperlink r:id="rId8" w:history="1">
        <w:r w:rsidRPr="00D21F29">
          <w:rPr>
            <w:rStyle w:val="Hyperlink"/>
          </w:rPr>
          <w:t>http://famanon.org.uk/</w:t>
        </w:r>
      </w:hyperlink>
      <w:r>
        <w:t xml:space="preserve">  0845 1200 660</w:t>
      </w:r>
    </w:p>
    <w:p w:rsidR="002100DD" w:rsidRDefault="002100DD" w:rsidP="002100DD">
      <w:pPr>
        <w:rPr>
          <w:b/>
          <w:sz w:val="24"/>
          <w:szCs w:val="24"/>
          <w:u w:val="single"/>
        </w:rPr>
      </w:pPr>
    </w:p>
    <w:p w:rsidR="00CB0F0D" w:rsidRDefault="00CB0F0D" w:rsidP="00CB0F0D">
      <w:pPr>
        <w:jc w:val="center"/>
        <w:rPr>
          <w:b/>
          <w:sz w:val="24"/>
          <w:szCs w:val="24"/>
          <w:u w:val="single"/>
        </w:rPr>
      </w:pPr>
      <w:r>
        <w:rPr>
          <w:b/>
          <w:sz w:val="24"/>
          <w:szCs w:val="24"/>
          <w:u w:val="single"/>
        </w:rPr>
        <w:lastRenderedPageBreak/>
        <w:t>Ideas/models concepts that people have found helpful</w:t>
      </w:r>
    </w:p>
    <w:p w:rsidR="002100DD" w:rsidRPr="00CB0F0D" w:rsidRDefault="002100DD" w:rsidP="00CB0F0D">
      <w:pPr>
        <w:pStyle w:val="ListParagraph"/>
        <w:numPr>
          <w:ilvl w:val="0"/>
          <w:numId w:val="2"/>
        </w:numPr>
        <w:rPr>
          <w:b/>
          <w:sz w:val="24"/>
          <w:szCs w:val="24"/>
          <w:u w:val="single"/>
        </w:rPr>
      </w:pPr>
      <w:r w:rsidRPr="00CB0F0D">
        <w:rPr>
          <w:b/>
          <w:sz w:val="24"/>
          <w:szCs w:val="24"/>
          <w:u w:val="single"/>
        </w:rPr>
        <w:t>The Karpman Triangle</w:t>
      </w:r>
    </w:p>
    <w:p w:rsidR="003114FF" w:rsidRDefault="002100DD" w:rsidP="003114FF">
      <w:r>
        <w:t>The Karpman ‘drama’ triangle has been used in many contexts</w:t>
      </w:r>
      <w:r w:rsidR="001C74D7">
        <w:t xml:space="preserve"> to describe relationships that can get ‘stuck’ in this pattern. </w:t>
      </w:r>
      <w:r w:rsidR="00674CBB">
        <w:t>Many</w:t>
      </w:r>
      <w:r>
        <w:t xml:space="preserve"> have found it helpful in considering addiction -</w:t>
      </w:r>
      <w:r w:rsidR="00674CBB">
        <w:t xml:space="preserve"> </w:t>
      </w:r>
      <w:r w:rsidR="00CB0F0D">
        <w:t xml:space="preserve"> as</w:t>
      </w:r>
      <w:r>
        <w:t xml:space="preserve"> ‘close others’ may find themselves in the ‘rescuer’ position</w:t>
      </w:r>
      <w:r w:rsidR="008C42A4">
        <w:t xml:space="preserve"> (as, indeed, can counsellors)</w:t>
      </w:r>
      <w:r>
        <w:t xml:space="preserve">.   </w:t>
      </w:r>
      <w:r>
        <w:rPr>
          <w:noProof/>
          <w:lang w:eastAsia="en-GB"/>
        </w:rPr>
        <w:drawing>
          <wp:inline distT="0" distB="0" distL="0" distR="0" wp14:anchorId="1A495DFC" wp14:editId="0BA74858">
            <wp:extent cx="3752850" cy="1933575"/>
            <wp:effectExtent l="0" t="0" r="0" b="9525"/>
            <wp:docPr id="1" name="irc_mi" descr="http://www.helpingyouharmonise.com/sites/default/files/images/karpman-trian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elpingyouharmonise.com/sites/default/files/images/karpman-triangl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52850" cy="1933575"/>
                    </a:xfrm>
                    <a:prstGeom prst="rect">
                      <a:avLst/>
                    </a:prstGeom>
                    <a:noFill/>
                    <a:ln>
                      <a:noFill/>
                    </a:ln>
                  </pic:spPr>
                </pic:pic>
              </a:graphicData>
            </a:graphic>
          </wp:inline>
        </w:drawing>
      </w:r>
    </w:p>
    <w:p w:rsidR="002100DD" w:rsidRDefault="00674CBB" w:rsidP="003114FF">
      <w:r>
        <w:t>T</w:t>
      </w:r>
      <w:r w:rsidR="002100DD">
        <w:t>hese behaviours could be considered as extensions of roles we all take in many relationships (support into rescue, for example). Indications that we may be moving into th</w:t>
      </w:r>
      <w:r w:rsidR="001C74D7">
        <w:t>is powerful</w:t>
      </w:r>
      <w:r w:rsidR="002100DD">
        <w:t xml:space="preserve"> triangle are: a feeling of compulsion about, being driven to, or a general ‘lack of choiceness’ about acting in the role; each person often has a ‘usual’ role, but </w:t>
      </w:r>
      <w:r>
        <w:t>we move through them all</w:t>
      </w:r>
      <w:r w:rsidR="002100DD">
        <w:t xml:space="preserve"> (particularly victim); </w:t>
      </w:r>
      <w:r>
        <w:t>the triangle becomes</w:t>
      </w:r>
      <w:r w:rsidR="002100DD">
        <w:t xml:space="preserve"> a repetitive pattern that gets ‘acted out’ in many situations.  A positive feature is that if one person steps out of these roles and maintains a position of not adopting any of them, the pattern cannot continue.  Making ‘boundary’ agreements is often seen as one step that may help achieve this.</w:t>
      </w:r>
    </w:p>
    <w:p w:rsidR="002100DD" w:rsidRPr="001C74D7" w:rsidRDefault="002100DD" w:rsidP="002100DD">
      <w:pPr>
        <w:jc w:val="both"/>
        <w:rPr>
          <w:sz w:val="24"/>
          <w:szCs w:val="24"/>
        </w:rPr>
      </w:pPr>
      <w:r w:rsidRPr="007B645D">
        <w:rPr>
          <w:b/>
          <w:sz w:val="24"/>
          <w:szCs w:val="24"/>
          <w:u w:val="single"/>
        </w:rPr>
        <w:t>The Five Step model of support</w:t>
      </w:r>
      <w:r w:rsidR="001C74D7">
        <w:rPr>
          <w:b/>
          <w:sz w:val="24"/>
          <w:szCs w:val="24"/>
          <w:u w:val="single"/>
        </w:rPr>
        <w:t xml:space="preserve"> </w:t>
      </w:r>
      <w:r w:rsidR="001C74D7" w:rsidRPr="001C74D7">
        <w:rPr>
          <w:b/>
          <w:sz w:val="24"/>
          <w:szCs w:val="24"/>
        </w:rPr>
        <w:t xml:space="preserve">     </w:t>
      </w:r>
      <w:r w:rsidR="001C74D7" w:rsidRPr="001C74D7">
        <w:rPr>
          <w:sz w:val="24"/>
          <w:szCs w:val="24"/>
        </w:rPr>
        <w:t xml:space="preserve">              </w:t>
      </w:r>
      <w:r w:rsidR="001C74D7">
        <w:rPr>
          <w:sz w:val="24"/>
          <w:szCs w:val="24"/>
        </w:rPr>
        <w:t xml:space="preserve">            </w:t>
      </w:r>
      <w:r w:rsidR="001C74D7" w:rsidRPr="001C74D7">
        <w:rPr>
          <w:sz w:val="24"/>
          <w:szCs w:val="24"/>
        </w:rPr>
        <w:t xml:space="preserve"> (Capello, Templeton, Orford, Velleman) </w:t>
      </w:r>
      <w:r w:rsidR="001C74D7">
        <w:rPr>
          <w:b/>
          <w:sz w:val="24"/>
          <w:szCs w:val="24"/>
          <w:u w:val="single"/>
        </w:rPr>
        <w:t xml:space="preserve">          </w:t>
      </w:r>
    </w:p>
    <w:p w:rsidR="002100DD" w:rsidRDefault="002100DD" w:rsidP="002100DD">
      <w:pPr>
        <w:spacing w:after="0" w:line="240" w:lineRule="auto"/>
        <w:jc w:val="both"/>
      </w:pPr>
      <w:r>
        <w:t>This was developed to help services such as advice agencies</w:t>
      </w:r>
      <w:r w:rsidR="00C9286A">
        <w:t xml:space="preserve"> and</w:t>
      </w:r>
      <w:r>
        <w:t xml:space="preserve"> medical professionals give improved support ‘close others’. It is based on research which found there were common ways of coping in families from many different cultures and countries.  The</w:t>
      </w:r>
      <w:r w:rsidR="001C74D7">
        <w:t xml:space="preserve"> authors</w:t>
      </w:r>
      <w:r>
        <w:t xml:space="preserve"> systematised these </w:t>
      </w:r>
      <w:r w:rsidR="00C9286A">
        <w:t xml:space="preserve">ways of coping </w:t>
      </w:r>
      <w:r>
        <w:t>into three main types:</w:t>
      </w:r>
    </w:p>
    <w:p w:rsidR="002100DD" w:rsidRDefault="002100DD" w:rsidP="002100DD">
      <w:pPr>
        <w:pStyle w:val="ListParagraph"/>
        <w:numPr>
          <w:ilvl w:val="0"/>
          <w:numId w:val="1"/>
        </w:numPr>
        <w:spacing w:after="0" w:line="240" w:lineRule="auto"/>
        <w:jc w:val="both"/>
      </w:pPr>
      <w:r>
        <w:t xml:space="preserve">engaged – which they call ‘standing up to it’ (e.g. confronting); </w:t>
      </w:r>
    </w:p>
    <w:p w:rsidR="002100DD" w:rsidRDefault="002100DD" w:rsidP="002100DD">
      <w:pPr>
        <w:pStyle w:val="ListParagraph"/>
        <w:numPr>
          <w:ilvl w:val="0"/>
          <w:numId w:val="1"/>
        </w:numPr>
        <w:spacing w:after="0" w:line="240" w:lineRule="auto"/>
        <w:jc w:val="both"/>
      </w:pPr>
      <w:r>
        <w:t xml:space="preserve">tolerate, which they call ‘putting up with it’ (e.g. ignoring or ‘covering’);  </w:t>
      </w:r>
    </w:p>
    <w:p w:rsidR="002100DD" w:rsidRPr="00F2197E" w:rsidRDefault="002100DD" w:rsidP="002100DD">
      <w:pPr>
        <w:pStyle w:val="ListParagraph"/>
        <w:numPr>
          <w:ilvl w:val="0"/>
          <w:numId w:val="1"/>
        </w:numPr>
        <w:spacing w:after="0" w:line="240" w:lineRule="auto"/>
        <w:jc w:val="both"/>
        <w:rPr>
          <w:rFonts w:ascii="Times New Roman" w:eastAsia="Times New Roman" w:hAnsi="Times New Roman" w:cs="Times New Roman"/>
          <w:i/>
          <w:sz w:val="24"/>
          <w:szCs w:val="24"/>
          <w:lang w:eastAsia="en-GB"/>
        </w:rPr>
      </w:pPr>
      <w:r>
        <w:t>withdrawal</w:t>
      </w:r>
      <w:r w:rsidR="00C9286A">
        <w:t xml:space="preserve"> -</w:t>
      </w:r>
      <w:r>
        <w:t xml:space="preserve"> which was characterised by ‘withdrawing and gaining independence</w:t>
      </w:r>
    </w:p>
    <w:p w:rsidR="002100DD" w:rsidRPr="003114FF" w:rsidRDefault="002100DD" w:rsidP="002100DD">
      <w:pPr>
        <w:pStyle w:val="ListParagraph"/>
        <w:spacing w:after="0" w:line="240" w:lineRule="auto"/>
        <w:jc w:val="both"/>
        <w:rPr>
          <w:sz w:val="20"/>
          <w:szCs w:val="20"/>
        </w:rPr>
      </w:pPr>
    </w:p>
    <w:p w:rsidR="002100DD" w:rsidRPr="00F2197E" w:rsidRDefault="002100DD" w:rsidP="002100DD">
      <w:pPr>
        <w:spacing w:after="0" w:line="240" w:lineRule="auto"/>
        <w:jc w:val="both"/>
        <w:rPr>
          <w:rFonts w:ascii="Times New Roman" w:eastAsia="Times New Roman" w:hAnsi="Times New Roman" w:cs="Times New Roman"/>
          <w:i/>
          <w:sz w:val="24"/>
          <w:szCs w:val="24"/>
          <w:lang w:eastAsia="en-GB"/>
        </w:rPr>
      </w:pPr>
      <w:r>
        <w:t xml:space="preserve">This model stresses </w:t>
      </w:r>
      <w:r w:rsidR="00C9286A">
        <w:t xml:space="preserve">the difficulties of the position </w:t>
      </w:r>
      <w:r>
        <w:t xml:space="preserve">rather than </w:t>
      </w:r>
      <w:r w:rsidR="00C9286A">
        <w:t>the ‘pathology’</w:t>
      </w:r>
      <w:r>
        <w:t xml:space="preserve"> of the person. The authors say: </w:t>
      </w:r>
      <w:r w:rsidRPr="00F2197E">
        <w:rPr>
          <w:sz w:val="24"/>
          <w:szCs w:val="24"/>
        </w:rPr>
        <w:t xml:space="preserve"> </w:t>
      </w:r>
      <w:r w:rsidRPr="00F2197E">
        <w:rPr>
          <w:i/>
          <w:sz w:val="24"/>
          <w:szCs w:val="24"/>
        </w:rPr>
        <w:t>the</w:t>
      </w:r>
      <w:r w:rsidRPr="00F2197E">
        <w:rPr>
          <w:rFonts w:ascii="Times New Roman" w:eastAsia="Times New Roman" w:hAnsi="Times New Roman" w:cs="Times New Roman"/>
          <w:i/>
          <w:sz w:val="24"/>
          <w:szCs w:val="24"/>
          <w:lang w:eastAsia="en-GB"/>
        </w:rPr>
        <w:t xml:space="preserve"> model upon which the method is based conceives of family members as ordinary people facing highly stressful circumstances.</w:t>
      </w:r>
    </w:p>
    <w:p w:rsidR="002100DD" w:rsidRPr="003114FF" w:rsidRDefault="002100DD" w:rsidP="002100DD">
      <w:pPr>
        <w:spacing w:after="0" w:line="240" w:lineRule="auto"/>
        <w:jc w:val="both"/>
        <w:rPr>
          <w:sz w:val="20"/>
          <w:szCs w:val="20"/>
        </w:rPr>
      </w:pPr>
    </w:p>
    <w:p w:rsidR="002100DD" w:rsidRDefault="002100DD" w:rsidP="002100DD">
      <w:pPr>
        <w:spacing w:after="0" w:line="240" w:lineRule="auto"/>
        <w:jc w:val="both"/>
      </w:pPr>
      <w:r>
        <w:t xml:space="preserve">They suggest that it is helpful for the close others </w:t>
      </w:r>
      <w:r w:rsidR="00C9286A">
        <w:t>to identify their current ‘coping’ style</w:t>
      </w:r>
      <w:r>
        <w:t>,</w:t>
      </w:r>
      <w:r w:rsidRPr="005E6B0A">
        <w:t xml:space="preserve"> </w:t>
      </w:r>
      <w:r>
        <w:t>to explore the pros and cons</w:t>
      </w:r>
      <w:r w:rsidR="00C9286A">
        <w:t xml:space="preserve"> of it</w:t>
      </w:r>
      <w:r>
        <w:t>, and to look at alternative actions in detail – which can help increase the</w:t>
      </w:r>
      <w:r w:rsidR="00C9286A">
        <w:t xml:space="preserve"> feeling of choice (and helps escape </w:t>
      </w:r>
      <w:r>
        <w:t xml:space="preserve">the Karpman triangle, for example).  The aim is to increase advantages and decrease disadvantages – so, for example, to remain supportive without ‘covering’. </w:t>
      </w:r>
    </w:p>
    <w:p w:rsidR="002100DD" w:rsidRPr="003114FF" w:rsidRDefault="002100DD" w:rsidP="002100DD">
      <w:pPr>
        <w:spacing w:after="0" w:line="240" w:lineRule="auto"/>
        <w:jc w:val="both"/>
        <w:rPr>
          <w:sz w:val="20"/>
          <w:szCs w:val="20"/>
        </w:rPr>
      </w:pPr>
    </w:p>
    <w:p w:rsidR="003114FF" w:rsidRDefault="002100DD" w:rsidP="002100DD">
      <w:pPr>
        <w:spacing w:after="0" w:line="240" w:lineRule="auto"/>
        <w:jc w:val="both"/>
      </w:pPr>
      <w:r>
        <w:t xml:space="preserve">Their research </w:t>
      </w:r>
      <w:r w:rsidR="00C9286A">
        <w:t xml:space="preserve">also </w:t>
      </w:r>
      <w:r>
        <w:t>found that although close others can often identify people who might be supportiv</w:t>
      </w:r>
      <w:r w:rsidR="00C9286A">
        <w:t xml:space="preserve">e, they </w:t>
      </w:r>
      <w:r>
        <w:t xml:space="preserve">feel a barrier to gaining </w:t>
      </w:r>
      <w:r w:rsidR="00831612">
        <w:t>it</w:t>
      </w:r>
      <w:r>
        <w:t>.  An important part of the 4</w:t>
      </w:r>
      <w:r w:rsidRPr="007B645D">
        <w:rPr>
          <w:vertAlign w:val="superscript"/>
        </w:rPr>
        <w:t>th</w:t>
      </w:r>
      <w:r>
        <w:t xml:space="preserve"> and 5</w:t>
      </w:r>
      <w:r w:rsidRPr="007B645D">
        <w:rPr>
          <w:vertAlign w:val="superscript"/>
        </w:rPr>
        <w:t>th</w:t>
      </w:r>
      <w:r>
        <w:t xml:space="preserve"> stage of </w:t>
      </w:r>
      <w:r w:rsidR="00831612">
        <w:t>model is broadening out and accessing support</w:t>
      </w:r>
      <w:r>
        <w:t xml:space="preserve">. Sources of help for the family member who is ‘using’ are also identified. </w:t>
      </w:r>
      <w:r w:rsidR="00C9286A">
        <w:t xml:space="preserve">                                               </w:t>
      </w:r>
      <w:r w:rsidR="008C42A4">
        <w:t xml:space="preserve">                            </w:t>
      </w:r>
    </w:p>
    <w:p w:rsidR="002100DD" w:rsidRPr="003114FF" w:rsidRDefault="00C9286A" w:rsidP="002100DD">
      <w:pPr>
        <w:spacing w:after="0" w:line="240" w:lineRule="auto"/>
        <w:jc w:val="both"/>
        <w:rPr>
          <w:sz w:val="16"/>
          <w:szCs w:val="16"/>
        </w:rPr>
      </w:pPr>
      <w:r w:rsidRPr="003114FF">
        <w:rPr>
          <w:sz w:val="16"/>
          <w:szCs w:val="16"/>
        </w:rPr>
        <w:t xml:space="preserve">Ref: </w:t>
      </w:r>
      <w:r w:rsidR="003114FF" w:rsidRPr="003114FF">
        <w:rPr>
          <w:sz w:val="16"/>
          <w:szCs w:val="16"/>
        </w:rPr>
        <w:t xml:space="preserve">Copello A </w:t>
      </w:r>
      <w:r w:rsidR="003114FF" w:rsidRPr="003114FF">
        <w:rPr>
          <w:i/>
          <w:sz w:val="16"/>
          <w:szCs w:val="16"/>
        </w:rPr>
        <w:t>et al</w:t>
      </w:r>
      <w:r w:rsidR="003114FF" w:rsidRPr="003114FF">
        <w:rPr>
          <w:sz w:val="16"/>
          <w:szCs w:val="16"/>
        </w:rPr>
        <w:t xml:space="preserve"> (2010). The 5-step method: Principles and Practice. </w:t>
      </w:r>
      <w:r w:rsidR="003114FF" w:rsidRPr="003114FF">
        <w:rPr>
          <w:i/>
          <w:sz w:val="16"/>
          <w:szCs w:val="16"/>
        </w:rPr>
        <w:t>Drugs: education, prevention and policy</w:t>
      </w:r>
      <w:r w:rsidR="003114FF" w:rsidRPr="003114FF">
        <w:rPr>
          <w:sz w:val="16"/>
          <w:szCs w:val="16"/>
        </w:rPr>
        <w:t>; 17 (S1): 86-99.</w:t>
      </w:r>
    </w:p>
    <w:p w:rsidR="002100DD" w:rsidRPr="00FD02A3" w:rsidRDefault="002100DD" w:rsidP="002100DD">
      <w:pPr>
        <w:spacing w:before="100" w:beforeAutospacing="1" w:after="100" w:afterAutospacing="1" w:line="240" w:lineRule="auto"/>
        <w:rPr>
          <w:rFonts w:ascii="Times New Roman" w:eastAsia="Times New Roman" w:hAnsi="Times New Roman" w:cs="Times New Roman"/>
          <w:b/>
          <w:sz w:val="24"/>
          <w:szCs w:val="24"/>
          <w:u w:val="single"/>
          <w:lang w:eastAsia="en-GB"/>
        </w:rPr>
      </w:pPr>
      <w:r w:rsidRPr="00FD02A3">
        <w:rPr>
          <w:rFonts w:ascii="Times New Roman" w:eastAsia="Times New Roman" w:hAnsi="Times New Roman" w:cs="Times New Roman"/>
          <w:b/>
          <w:sz w:val="24"/>
          <w:szCs w:val="24"/>
          <w:u w:val="single"/>
          <w:lang w:eastAsia="en-GB"/>
        </w:rPr>
        <w:lastRenderedPageBreak/>
        <w:t>The Prochaska and di Clemente ‘model of change’</w:t>
      </w:r>
    </w:p>
    <w:p w:rsidR="002100DD" w:rsidRPr="000371B3" w:rsidRDefault="002100DD" w:rsidP="002100DD">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This model systematises the different ‘stages’ that a person may go through during addiction and recovery.  Many have found it useful in considering ‘where someone is at’ in order to be able to offer the most appropriate support at that particular time. The table has been adapted from advi</w:t>
      </w:r>
      <w:r w:rsidR="003114FF">
        <w:rPr>
          <w:rFonts w:ascii="Times New Roman" w:eastAsia="Times New Roman" w:hAnsi="Times New Roman" w:cs="Times New Roman"/>
          <w:sz w:val="24"/>
          <w:szCs w:val="24"/>
          <w:lang w:eastAsia="en-GB"/>
        </w:rPr>
        <w:t xml:space="preserve">ce given by Adfam and others.  </w:t>
      </w:r>
      <w:r>
        <w:rPr>
          <w:rFonts w:ascii="Times New Roman" w:eastAsia="Times New Roman" w:hAnsi="Times New Roman" w:cs="Times New Roman"/>
          <w:sz w:val="24"/>
          <w:szCs w:val="24"/>
          <w:lang w:eastAsia="en-GB"/>
        </w:rPr>
        <w:t xml:space="preserve">  </w:t>
      </w:r>
    </w:p>
    <w:p w:rsidR="002100DD" w:rsidRDefault="002100DD" w:rsidP="002100DD">
      <w:r>
        <w:rPr>
          <w:noProof/>
          <w:lang w:eastAsia="en-GB"/>
        </w:rPr>
        <w:drawing>
          <wp:inline distT="0" distB="0" distL="0" distR="0" wp14:anchorId="6FCC0D86" wp14:editId="022FB9A8">
            <wp:extent cx="2898775" cy="1885950"/>
            <wp:effectExtent l="0" t="0" r="0" b="0"/>
            <wp:docPr id="2" name="irc_mi" descr="http://f.tqn.com/y/addictions/1/S/j/1/-/-/stages-of-change-model-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f.tqn.com/y/addictions/1/S/j/1/-/-/stages-of-change-model-diagram.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98775" cy="1885950"/>
                    </a:xfrm>
                    <a:prstGeom prst="rect">
                      <a:avLst/>
                    </a:prstGeom>
                    <a:noFill/>
                    <a:ln>
                      <a:noFill/>
                    </a:ln>
                  </pic:spPr>
                </pic:pic>
              </a:graphicData>
            </a:graphic>
          </wp:inline>
        </w:drawing>
      </w:r>
    </w:p>
    <w:tbl>
      <w:tblPr>
        <w:tblStyle w:val="TableGrid"/>
        <w:tblW w:w="0" w:type="auto"/>
        <w:tblLook w:val="00A0" w:firstRow="1" w:lastRow="0" w:firstColumn="1" w:lastColumn="0" w:noHBand="0" w:noVBand="0"/>
      </w:tblPr>
      <w:tblGrid>
        <w:gridCol w:w="1602"/>
        <w:gridCol w:w="4219"/>
        <w:gridCol w:w="3421"/>
      </w:tblGrid>
      <w:tr w:rsidR="002100DD" w:rsidRPr="00E2131C" w:rsidTr="00FE6073">
        <w:tc>
          <w:tcPr>
            <w:tcW w:w="9016" w:type="dxa"/>
            <w:gridSpan w:val="3"/>
          </w:tcPr>
          <w:p w:rsidR="002100DD" w:rsidRPr="00E2131C" w:rsidRDefault="002100DD" w:rsidP="00FE6073">
            <w:r>
              <w:t>Stage                                                      for the ‘user’                                    for the close other</w:t>
            </w:r>
          </w:p>
        </w:tc>
      </w:tr>
      <w:tr w:rsidR="002100DD" w:rsidTr="00FE6073">
        <w:tblPrEx>
          <w:tblLook w:val="04A0" w:firstRow="1" w:lastRow="0" w:firstColumn="1" w:lastColumn="0" w:noHBand="0" w:noVBand="1"/>
        </w:tblPrEx>
        <w:tc>
          <w:tcPr>
            <w:tcW w:w="0" w:type="auto"/>
          </w:tcPr>
          <w:p w:rsidR="002100DD" w:rsidRDefault="002100DD" w:rsidP="00FE6073">
            <w:r>
              <w:t>Pre-contemplation</w:t>
            </w:r>
          </w:p>
          <w:p w:rsidR="002100DD" w:rsidRDefault="002100DD" w:rsidP="00FE6073"/>
        </w:tc>
        <w:tc>
          <w:tcPr>
            <w:tcW w:w="0" w:type="auto"/>
          </w:tcPr>
          <w:p w:rsidR="002100DD" w:rsidRDefault="002100DD" w:rsidP="00FE6073">
            <w:r>
              <w:t>I don’t think I have a problem</w:t>
            </w:r>
          </w:p>
        </w:tc>
        <w:tc>
          <w:tcPr>
            <w:tcW w:w="0" w:type="auto"/>
          </w:tcPr>
          <w:p w:rsidR="002100DD" w:rsidRDefault="002100DD" w:rsidP="00FE6073">
            <w:r>
              <w:t>Limit effects for self and others, including by seeking support for yourself. Give honest feedback on consequences of the</w:t>
            </w:r>
          </w:p>
          <w:p w:rsidR="002100DD" w:rsidRDefault="002100DD" w:rsidP="00FE6073">
            <w:r>
              <w:t xml:space="preserve">behaviour </w:t>
            </w:r>
          </w:p>
        </w:tc>
      </w:tr>
      <w:tr w:rsidR="002100DD" w:rsidTr="00FE6073">
        <w:tblPrEx>
          <w:tblLook w:val="04A0" w:firstRow="1" w:lastRow="0" w:firstColumn="1" w:lastColumn="0" w:noHBand="0" w:noVBand="1"/>
        </w:tblPrEx>
        <w:tc>
          <w:tcPr>
            <w:tcW w:w="0" w:type="auto"/>
          </w:tcPr>
          <w:p w:rsidR="002100DD" w:rsidRDefault="002100DD" w:rsidP="00FE6073">
            <w:r>
              <w:t>Contemplation</w:t>
            </w:r>
          </w:p>
        </w:tc>
        <w:tc>
          <w:tcPr>
            <w:tcW w:w="0" w:type="auto"/>
          </w:tcPr>
          <w:p w:rsidR="002100DD" w:rsidRDefault="002100DD" w:rsidP="00FE6073">
            <w:r>
              <w:t>Maybe I do have a problem</w:t>
            </w:r>
          </w:p>
        </w:tc>
        <w:tc>
          <w:tcPr>
            <w:tcW w:w="0" w:type="auto"/>
          </w:tcPr>
          <w:p w:rsidR="002100DD" w:rsidRDefault="002100DD" w:rsidP="00FE6073">
            <w:r>
              <w:t>Limit effects on self and others</w:t>
            </w:r>
          </w:p>
          <w:p w:rsidR="002100DD" w:rsidRDefault="002100DD" w:rsidP="00FE6073">
            <w:r>
              <w:t>Give assistance in helping the person explore the options for change</w:t>
            </w:r>
          </w:p>
        </w:tc>
      </w:tr>
      <w:tr w:rsidR="002100DD" w:rsidTr="00FE6073">
        <w:tblPrEx>
          <w:tblLook w:val="04A0" w:firstRow="1" w:lastRow="0" w:firstColumn="1" w:lastColumn="0" w:noHBand="0" w:noVBand="1"/>
        </w:tblPrEx>
        <w:tc>
          <w:tcPr>
            <w:tcW w:w="0" w:type="auto"/>
          </w:tcPr>
          <w:p w:rsidR="002100DD" w:rsidRDefault="002100DD" w:rsidP="00FE6073">
            <w:r>
              <w:t>Preparation</w:t>
            </w:r>
          </w:p>
        </w:tc>
        <w:tc>
          <w:tcPr>
            <w:tcW w:w="0" w:type="auto"/>
          </w:tcPr>
          <w:p w:rsidR="002100DD" w:rsidRDefault="002100DD" w:rsidP="00FE6073">
            <w:r>
              <w:t>I think I will make a change and I’m preparing how to do it. This may well involve others - advice services, treatment, or self-help groups (or simply friends)</w:t>
            </w:r>
          </w:p>
        </w:tc>
        <w:tc>
          <w:tcPr>
            <w:tcW w:w="0" w:type="auto"/>
          </w:tcPr>
          <w:p w:rsidR="002100DD" w:rsidRDefault="002100DD" w:rsidP="00FE6073">
            <w:r>
              <w:t>Help and encourage the plan and recognise the anxiety this will hold for the person, as well as your own.  Consider/adopt what support you need yourself.</w:t>
            </w:r>
          </w:p>
        </w:tc>
      </w:tr>
      <w:tr w:rsidR="002100DD" w:rsidTr="00FE6073">
        <w:tblPrEx>
          <w:tblLook w:val="04A0" w:firstRow="1" w:lastRow="0" w:firstColumn="1" w:lastColumn="0" w:noHBand="0" w:noVBand="1"/>
        </w:tblPrEx>
        <w:tc>
          <w:tcPr>
            <w:tcW w:w="0" w:type="auto"/>
          </w:tcPr>
          <w:p w:rsidR="002100DD" w:rsidRDefault="002100DD" w:rsidP="00FE6073">
            <w:r>
              <w:t>Action</w:t>
            </w:r>
          </w:p>
        </w:tc>
        <w:tc>
          <w:tcPr>
            <w:tcW w:w="0" w:type="auto"/>
          </w:tcPr>
          <w:p w:rsidR="002100DD" w:rsidRDefault="002100DD" w:rsidP="00FE6073">
            <w:r>
              <w:t>I am putting my plan into action</w:t>
            </w:r>
          </w:p>
        </w:tc>
        <w:tc>
          <w:tcPr>
            <w:tcW w:w="0" w:type="auto"/>
          </w:tcPr>
          <w:p w:rsidR="002100DD" w:rsidRDefault="002100DD" w:rsidP="00FE6073">
            <w:r>
              <w:t>Encourage the positive changes; recognise ‘lapses’ may occur</w:t>
            </w:r>
          </w:p>
        </w:tc>
      </w:tr>
      <w:tr w:rsidR="002100DD" w:rsidTr="00FE6073">
        <w:tblPrEx>
          <w:tblLook w:val="04A0" w:firstRow="1" w:lastRow="0" w:firstColumn="1" w:lastColumn="0" w:noHBand="0" w:noVBand="1"/>
        </w:tblPrEx>
        <w:tc>
          <w:tcPr>
            <w:tcW w:w="0" w:type="auto"/>
          </w:tcPr>
          <w:p w:rsidR="002100DD" w:rsidRDefault="002100DD" w:rsidP="00FE6073">
            <w:r>
              <w:t>Maintenance</w:t>
            </w:r>
          </w:p>
        </w:tc>
        <w:tc>
          <w:tcPr>
            <w:tcW w:w="0" w:type="auto"/>
          </w:tcPr>
          <w:p w:rsidR="002100DD" w:rsidRDefault="002100DD" w:rsidP="00FE6073">
            <w:r>
              <w:t xml:space="preserve">I’ve made the change! This new behaviour and attitudes continue to be practised (this is hard!) </w:t>
            </w:r>
          </w:p>
        </w:tc>
        <w:tc>
          <w:tcPr>
            <w:tcW w:w="0" w:type="auto"/>
          </w:tcPr>
          <w:p w:rsidR="002100DD" w:rsidRDefault="002100DD" w:rsidP="00FE6073">
            <w:r>
              <w:t xml:space="preserve">Support the changes practically, and recognise that shifts in your relationship may need to occur. Recognise that some problems may remain. </w:t>
            </w:r>
          </w:p>
        </w:tc>
      </w:tr>
      <w:tr w:rsidR="002100DD" w:rsidTr="00FE6073">
        <w:tblPrEx>
          <w:tblLook w:val="04A0" w:firstRow="1" w:lastRow="0" w:firstColumn="1" w:lastColumn="0" w:noHBand="0" w:noVBand="1"/>
        </w:tblPrEx>
        <w:tc>
          <w:tcPr>
            <w:tcW w:w="0" w:type="auto"/>
          </w:tcPr>
          <w:p w:rsidR="002100DD" w:rsidRDefault="002100DD" w:rsidP="00FE6073">
            <w:r>
              <w:t>Lapse and relapse</w:t>
            </w:r>
          </w:p>
        </w:tc>
        <w:tc>
          <w:tcPr>
            <w:tcW w:w="0" w:type="auto"/>
          </w:tcPr>
          <w:p w:rsidR="002100DD" w:rsidRDefault="002100DD" w:rsidP="00FE6073">
            <w:r>
              <w:t>This can occur at any point, including maintenance. A brief lapse may be brought under control with a return to maintenance; a full relapse means a return to the behaviour and the need to start again in earlier parts of the cycle</w:t>
            </w:r>
          </w:p>
        </w:tc>
        <w:tc>
          <w:tcPr>
            <w:tcW w:w="0" w:type="auto"/>
          </w:tcPr>
          <w:p w:rsidR="002100DD" w:rsidRDefault="002100DD" w:rsidP="00FE6073">
            <w:r>
              <w:t>Support the person in returning to the networks and patterns that helped them achieve the change; maintain your own networks of support</w:t>
            </w:r>
          </w:p>
        </w:tc>
      </w:tr>
    </w:tbl>
    <w:p w:rsidR="009D23C6" w:rsidRDefault="009D23C6"/>
    <w:sectPr w:rsidR="009D23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D7526"/>
    <w:multiLevelType w:val="hybridMultilevel"/>
    <w:tmpl w:val="F5E054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44A53F1"/>
    <w:multiLevelType w:val="multilevel"/>
    <w:tmpl w:val="0A329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00DD"/>
    <w:rsid w:val="001C74D7"/>
    <w:rsid w:val="002100DD"/>
    <w:rsid w:val="00292064"/>
    <w:rsid w:val="003114FF"/>
    <w:rsid w:val="00353E84"/>
    <w:rsid w:val="00674CBB"/>
    <w:rsid w:val="0068736C"/>
    <w:rsid w:val="006B2F01"/>
    <w:rsid w:val="00745B9F"/>
    <w:rsid w:val="008303BF"/>
    <w:rsid w:val="00831612"/>
    <w:rsid w:val="008C42A4"/>
    <w:rsid w:val="009D23C6"/>
    <w:rsid w:val="00A7600B"/>
    <w:rsid w:val="00C9286A"/>
    <w:rsid w:val="00CB0F0D"/>
    <w:rsid w:val="00F355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DD"/>
  </w:style>
  <w:style w:type="paragraph" w:styleId="Heading2">
    <w:name w:val="heading 2"/>
    <w:basedOn w:val="Normal"/>
    <w:next w:val="Normal"/>
    <w:link w:val="Heading2Char"/>
    <w:uiPriority w:val="9"/>
    <w:semiHidden/>
    <w:unhideWhenUsed/>
    <w:qFormat/>
    <w:rsid w:val="0021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DD"/>
    <w:pPr>
      <w:ind w:left="720"/>
      <w:contextualSpacing/>
    </w:pPr>
  </w:style>
  <w:style w:type="table" w:styleId="TableGrid">
    <w:name w:val="Table Grid"/>
    <w:basedOn w:val="TableNormal"/>
    <w:uiPriority w:val="39"/>
    <w:rsid w:val="0021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100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100DD"/>
    <w:rPr>
      <w:color w:val="0563C1" w:themeColor="hyperlink"/>
      <w:u w:val="single"/>
    </w:rPr>
  </w:style>
  <w:style w:type="paragraph" w:styleId="BalloonText">
    <w:name w:val="Balloon Text"/>
    <w:basedOn w:val="Normal"/>
    <w:link w:val="BalloonTextChar"/>
    <w:uiPriority w:val="99"/>
    <w:semiHidden/>
    <w:unhideWhenUsed/>
    <w:rsid w:val="0074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0DD"/>
  </w:style>
  <w:style w:type="paragraph" w:styleId="Heading2">
    <w:name w:val="heading 2"/>
    <w:basedOn w:val="Normal"/>
    <w:next w:val="Normal"/>
    <w:link w:val="Heading2Char"/>
    <w:uiPriority w:val="9"/>
    <w:semiHidden/>
    <w:unhideWhenUsed/>
    <w:qFormat/>
    <w:rsid w:val="002100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0DD"/>
    <w:pPr>
      <w:ind w:left="720"/>
      <w:contextualSpacing/>
    </w:pPr>
  </w:style>
  <w:style w:type="table" w:styleId="TableGrid">
    <w:name w:val="Table Grid"/>
    <w:basedOn w:val="TableNormal"/>
    <w:uiPriority w:val="39"/>
    <w:rsid w:val="00210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100DD"/>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2100DD"/>
    <w:rPr>
      <w:color w:val="0563C1" w:themeColor="hyperlink"/>
      <w:u w:val="single"/>
    </w:rPr>
  </w:style>
  <w:style w:type="paragraph" w:styleId="BalloonText">
    <w:name w:val="Balloon Text"/>
    <w:basedOn w:val="Normal"/>
    <w:link w:val="BalloonTextChar"/>
    <w:uiPriority w:val="99"/>
    <w:semiHidden/>
    <w:unhideWhenUsed/>
    <w:rsid w:val="00745B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B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amanon.org.uk/" TargetMode="External"/><Relationship Id="rId3" Type="http://schemas.microsoft.com/office/2007/relationships/stylesWithEffects" Target="stylesWithEffects.xml"/><Relationship Id="rId7" Type="http://schemas.openxmlformats.org/officeDocument/2006/relationships/hyperlink" Target="http://www.rehab-online.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Chambers</dc:creator>
  <cp:lastModifiedBy>Carrie</cp:lastModifiedBy>
  <cp:revision>4</cp:revision>
  <cp:lastPrinted>2016-07-27T14:37:00Z</cp:lastPrinted>
  <dcterms:created xsi:type="dcterms:W3CDTF">2017-10-30T12:59:00Z</dcterms:created>
  <dcterms:modified xsi:type="dcterms:W3CDTF">2017-10-30T13:03:00Z</dcterms:modified>
</cp:coreProperties>
</file>