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D3" w:rsidRPr="00DC14D3" w:rsidRDefault="00994729" w:rsidP="00DC14D3">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3574415</wp:posOffset>
            </wp:positionH>
            <wp:positionV relativeFrom="paragraph">
              <wp:posOffset>-320040</wp:posOffset>
            </wp:positionV>
            <wp:extent cx="2867025" cy="771525"/>
            <wp:effectExtent l="19050" t="0" r="9525" b="0"/>
            <wp:wrapNone/>
            <wp:docPr id="20" name="Picture 20"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_Logo_B&amp;W"/>
                    <pic:cNvPicPr>
                      <a:picLocks noChangeAspect="1" noChangeArrowheads="1"/>
                    </pic:cNvPicPr>
                  </pic:nvPicPr>
                  <pic:blipFill>
                    <a:blip r:embed="rId14" cstate="print"/>
                    <a:srcRect/>
                    <a:stretch>
                      <a:fillRect/>
                    </a:stretch>
                  </pic:blipFill>
                  <pic:spPr bwMode="auto">
                    <a:xfrm>
                      <a:off x="0" y="0"/>
                      <a:ext cx="2867025" cy="771525"/>
                    </a:xfrm>
                    <a:prstGeom prst="rect">
                      <a:avLst/>
                    </a:prstGeom>
                    <a:noFill/>
                    <a:ln w="9525">
                      <a:noFill/>
                      <a:miter lim="800000"/>
                      <a:headEnd/>
                      <a:tailEnd/>
                    </a:ln>
                  </pic:spPr>
                </pic:pic>
              </a:graphicData>
            </a:graphic>
          </wp:anchor>
        </w:drawing>
      </w:r>
      <w:r w:rsidR="0086255D">
        <w:t xml:space="preserve"> </w:t>
      </w:r>
      <w:r w:rsidR="00DC14D3">
        <w:tab/>
      </w:r>
      <w:r w:rsidR="00DC14D3">
        <w:tab/>
      </w:r>
      <w:r w:rsidR="00DC14D3">
        <w:tab/>
      </w:r>
      <w:r w:rsidR="00DC14D3">
        <w:tab/>
      </w:r>
      <w:r w:rsidR="00DC14D3">
        <w:tab/>
      </w:r>
      <w:r w:rsidR="00DC14D3">
        <w:tab/>
      </w:r>
      <w:r w:rsidR="00DC14D3">
        <w:tab/>
      </w:r>
      <w:r w:rsidR="00DC14D3">
        <w:tab/>
      </w:r>
      <w:r w:rsidR="00DC14D3">
        <w:tab/>
      </w:r>
      <w:r w:rsidR="00DC14D3">
        <w:tab/>
      </w:r>
      <w:r w:rsidR="00DC14D3">
        <w:tab/>
      </w:r>
      <w:r w:rsidR="00DC14D3">
        <w:tab/>
      </w:r>
      <w:r w:rsidR="00DC14D3">
        <w:tab/>
      </w:r>
    </w:p>
    <w:p w:rsidR="00DC14D3" w:rsidRPr="00DC14D3" w:rsidRDefault="00DC14D3" w:rsidP="00DC14D3"/>
    <w:p w:rsidR="005935BA" w:rsidRDefault="005935BA" w:rsidP="00887CE4">
      <w:pPr>
        <w:pStyle w:val="Titleorange"/>
        <w:rPr>
          <w:sz w:val="48"/>
          <w:szCs w:val="48"/>
        </w:rPr>
      </w:pPr>
      <w:bookmarkStart w:id="1" w:name="OLE_LINK3"/>
      <w:bookmarkStart w:id="2" w:name="OLE_LINK4"/>
    </w:p>
    <w:p w:rsidR="00887CE4" w:rsidRPr="00887CE4" w:rsidRDefault="00E3428E" w:rsidP="00887CE4">
      <w:pPr>
        <w:pStyle w:val="Titleorange"/>
        <w:rPr>
          <w:sz w:val="48"/>
          <w:szCs w:val="48"/>
        </w:rPr>
      </w:pPr>
      <w:r w:rsidRPr="00226E3A">
        <w:t xml:space="preserve">Proposed </w:t>
      </w:r>
      <w:r w:rsidR="00BF68DE">
        <w:t xml:space="preserve">changes to </w:t>
      </w:r>
      <w:r w:rsidR="00E11C87">
        <w:t>l</w:t>
      </w:r>
      <w:r w:rsidR="00BF68DE">
        <w:t>icence conditions and codes of practice linked to the fair and open licensing objective</w:t>
      </w:r>
    </w:p>
    <w:p w:rsidR="00C943BD" w:rsidRPr="00D56296" w:rsidRDefault="009F64A4">
      <w:pPr>
        <w:pStyle w:val="Maintext"/>
        <w:spacing w:line="280" w:lineRule="exact"/>
        <w:rPr>
          <w:b/>
          <w:sz w:val="24"/>
          <w:szCs w:val="24"/>
        </w:rPr>
      </w:pPr>
      <w:bookmarkStart w:id="3" w:name="OLE_LINK1"/>
      <w:bookmarkStart w:id="4" w:name="OLE_LINK2"/>
      <w:bookmarkEnd w:id="1"/>
      <w:bookmarkEnd w:id="2"/>
      <w:r>
        <w:rPr>
          <w:sz w:val="32"/>
          <w:szCs w:val="32"/>
        </w:rPr>
        <w:t>Consultation response</w:t>
      </w:r>
      <w:r w:rsidR="00E11C87">
        <w:rPr>
          <w:sz w:val="32"/>
          <w:szCs w:val="32"/>
        </w:rPr>
        <w:t xml:space="preserve"> form</w:t>
      </w:r>
      <w:r w:rsidR="00887CE4">
        <w:rPr>
          <w:sz w:val="32"/>
          <w:szCs w:val="32"/>
        </w:rPr>
        <w:tab/>
      </w:r>
    </w:p>
    <w:bookmarkEnd w:id="3"/>
    <w:bookmarkEnd w:id="4"/>
    <w:p w:rsidR="00FD09C5" w:rsidRDefault="009949E9" w:rsidP="0060567B">
      <w:r w:rsidRPr="009949E9">
        <w:rPr>
          <w:noProof/>
          <w:color w:val="800080"/>
          <w:lang w:eastAsia="en-GB"/>
        </w:rPr>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pt" to="479.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lZFwIAACoEAAAOAAAAZHJzL2Uyb0RvYy54bWysU8GO2jAQvVfqP1i+QxIaUjYirKoEetl2&#10;kXb7AcZ2iFXHtmxDQFX/vWMHaGkvVdWLM87MvHkzb7x8PPUSHbl1QqsKZ9MUI66oZkLtK/zldTNZ&#10;YOQ8UYxIrXiFz9zhx9XbN8vBlHymOy0ZtwhAlCsHU+HOe1MmiaMd74mbasMVOFtte+LhavcJs2QA&#10;9F4mszQtkkFbZqym3Dn424xOvIr4bcupf25bxz2SFQZuPp42nrtwJqslKfeWmE7QCw3yDyx6IhQU&#10;vUE1xBN0sOIPqF5Qq51u/ZTqPtFtKyiPPUA3WfpbNy8dMTz2AsNx5jYm9/9g6efj1iLBQDuMFOlB&#10;oiehOMrmYTSDcSVE1GprQ3P0pF7Mk6ZfHVK67oja80jx9WwgLwsZyV1KuDgDBXbDJ80ghhy8jnM6&#10;tbYPkDABdIpynG9y8JNHFH4WWbpIizlG9OpLSHlNNNb5j1z3KBgVlkA6ApPjk/OBCCmvIaGO0hsh&#10;ZVRbKjRUeDbP0zRmOC0FC94Q5+x+V0uLjgQWZrMpCgga0e7CrD4oFtE6Ttj6Ynsi5GhDdakCHvQC&#10;fC7WuBHfHtKH9WK9yCf5rFhP8rRpJh82dT4pNtn7efOuqesm+x6oZXnZCca4Cuyu25nlf6f+5Z2M&#10;e3Xbz9scknv0ODAge/1G0lHMoN+4CTvNzlsbphF0hYWMwZfHEzb+13uM+vnEVz8AAAD//wMAUEsD&#10;BBQABgAIAAAAIQBP7mwk3AAAAAgBAAAPAAAAZHJzL2Rvd25yZXYueG1sTI/BTsMwEETvSPyDtUjc&#10;WjsFqjbEqRACIVAvlH7ANl7iiHidxm6S/j1GHOC4M6PZN8Vmcq0YqA+NZw3ZXIEgrrxpuNaw/3ie&#10;rUCEiGyw9UwazhRgU15eFJgbP/I7DbtYi1TCIUcNNsYulzJUlhyGue+Ik/fpe4cxnX0tTY9jKnet&#10;XCi1lA4bTh8sdvRoqfranZwGfHqx6vg6rpptZob9m1PyeFZaX19ND/cgIk3xLww/+AkdysR08Cc2&#10;QbQaZoublEx6dgsi+eu79RLE4VeQZSH/Dyi/AQAA//8DAFBLAQItABQABgAIAAAAIQC2gziS/gAA&#10;AOEBAAATAAAAAAAAAAAAAAAAAAAAAABbQ29udGVudF9UeXBlc10ueG1sUEsBAi0AFAAGAAgAAAAh&#10;ADj9If/WAAAAlAEAAAsAAAAAAAAAAAAAAAAALwEAAF9yZWxzLy5yZWxzUEsBAi0AFAAGAAgAAAAh&#10;AEIGGVkXAgAAKgQAAA4AAAAAAAAAAAAAAAAALgIAAGRycy9lMm9Eb2MueG1sUEsBAi0AFAAGAAgA&#10;AAAhAE/ubCTcAAAACAEAAA8AAAAAAAAAAAAAAAAAcQQAAGRycy9kb3ducmV2LnhtbFBLBQYAAAAA&#10;BAAEAPMAAAB6BQAAAAA=&#10;" strokecolor="#f60" strokeweight="2pt"/>
        </w:pict>
      </w:r>
    </w:p>
    <w:p w:rsidR="0060567B" w:rsidRPr="00C26A10" w:rsidRDefault="0060567B" w:rsidP="00C26A10">
      <w:pPr>
        <w:pStyle w:val="Basictext"/>
      </w:pPr>
    </w:p>
    <w:p w:rsidR="006A60DC" w:rsidRDefault="00067C60" w:rsidP="0069356B">
      <w:pPr>
        <w:pStyle w:val="Basictext"/>
        <w:ind w:left="720" w:hanging="720"/>
      </w:pPr>
      <w:r w:rsidRPr="00CE56B5">
        <w:rPr>
          <w:rStyle w:val="ParanumberorangeChar"/>
        </w:rPr>
        <w:t>1.</w:t>
      </w:r>
      <w:r w:rsidR="00830490" w:rsidRPr="00CE56B5">
        <w:rPr>
          <w:rStyle w:val="ParanumberorangeChar"/>
        </w:rPr>
        <w:t>1</w:t>
      </w:r>
      <w:r w:rsidR="003964A2">
        <w:tab/>
      </w:r>
      <w:r w:rsidR="00887CE4">
        <w:t>This template is provided for responses to the Gambling Commission’s consu</w:t>
      </w:r>
      <w:r w:rsidR="00213347">
        <w:t xml:space="preserve">ltation on </w:t>
      </w:r>
      <w:r w:rsidR="00E3428E" w:rsidRPr="00E3428E">
        <w:rPr>
          <w:i/>
        </w:rPr>
        <w:t xml:space="preserve">Proposed </w:t>
      </w:r>
      <w:r w:rsidR="000E53F8">
        <w:rPr>
          <w:i/>
        </w:rPr>
        <w:t xml:space="preserve">changes to </w:t>
      </w:r>
      <w:r w:rsidR="00E11C87">
        <w:rPr>
          <w:i/>
        </w:rPr>
        <w:t>l</w:t>
      </w:r>
      <w:r w:rsidR="000E53F8">
        <w:rPr>
          <w:i/>
        </w:rPr>
        <w:t>icence conditions and codes of practice linked to the fair and open licensing objective</w:t>
      </w:r>
      <w:r w:rsidR="00887CE4">
        <w:t xml:space="preserve">. </w:t>
      </w:r>
      <w:r w:rsidR="00D349E4">
        <w:t xml:space="preserve">Please use this </w:t>
      </w:r>
      <w:r w:rsidR="00887CE4">
        <w:t>template</w:t>
      </w:r>
      <w:r w:rsidR="00934B5F">
        <w:t xml:space="preserve"> if possible</w:t>
      </w:r>
      <w:r w:rsidR="006A60DC">
        <w:t xml:space="preserve">.  </w:t>
      </w:r>
    </w:p>
    <w:p w:rsidR="006A60DC" w:rsidRDefault="006A60DC" w:rsidP="006A60DC">
      <w:pPr>
        <w:pStyle w:val="Basictext"/>
        <w:ind w:left="0" w:firstLine="0"/>
      </w:pPr>
    </w:p>
    <w:p w:rsidR="00C8316F" w:rsidRDefault="006A60DC" w:rsidP="0069356B">
      <w:pPr>
        <w:pStyle w:val="Basictext"/>
        <w:ind w:left="720" w:hanging="720"/>
      </w:pPr>
      <w:r w:rsidRPr="00CE56B5">
        <w:rPr>
          <w:rStyle w:val="ParanumberorangeChar"/>
        </w:rPr>
        <w:t>1.</w:t>
      </w:r>
      <w:r>
        <w:rPr>
          <w:rStyle w:val="ParanumberorangeChar"/>
        </w:rPr>
        <w:t>2</w:t>
      </w:r>
      <w:r>
        <w:rPr>
          <w:rStyle w:val="ParanumberorangeChar"/>
        </w:rPr>
        <w:tab/>
      </w:r>
      <w:r w:rsidR="00037083">
        <w:t>The template leaves space</w:t>
      </w:r>
      <w:r>
        <w:t xml:space="preserve"> for responses to</w:t>
      </w:r>
      <w:r w:rsidR="00476BF7">
        <w:t xml:space="preserve"> all</w:t>
      </w:r>
      <w:r w:rsidR="00213347">
        <w:t xml:space="preserve"> the questions asked in the </w:t>
      </w:r>
      <w:r>
        <w:t xml:space="preserve">consultation. However, we understand that </w:t>
      </w:r>
      <w:r w:rsidR="00E11C87">
        <w:t>you</w:t>
      </w:r>
      <w:r>
        <w:t xml:space="preserve"> may wish to answer only those questions which are relevant for </w:t>
      </w:r>
      <w:r w:rsidR="00E11C87">
        <w:t>your</w:t>
      </w:r>
      <w:r>
        <w:t xml:space="preserve"> busine</w:t>
      </w:r>
      <w:r w:rsidR="00934B5F">
        <w:t xml:space="preserve">ss, organisation or interests. </w:t>
      </w:r>
    </w:p>
    <w:p w:rsidR="00C8316F" w:rsidRDefault="00C8316F" w:rsidP="0069356B">
      <w:pPr>
        <w:pStyle w:val="Basictext"/>
        <w:ind w:left="720" w:hanging="720"/>
      </w:pPr>
    </w:p>
    <w:p w:rsidR="00B9664C" w:rsidRDefault="00C8316F" w:rsidP="00BF68DE">
      <w:pPr>
        <w:pStyle w:val="Basictext"/>
        <w:ind w:left="720" w:hanging="720"/>
      </w:pPr>
      <w:r w:rsidRPr="00CE56B5">
        <w:rPr>
          <w:rStyle w:val="ParanumberorangeChar"/>
        </w:rPr>
        <w:t>1.</w:t>
      </w:r>
      <w:r w:rsidR="00934B5F">
        <w:rPr>
          <w:rStyle w:val="ParanumberorangeChar"/>
        </w:rPr>
        <w:t>3</w:t>
      </w:r>
      <w:r>
        <w:tab/>
      </w:r>
      <w:r w:rsidR="00D349E4">
        <w:t xml:space="preserve">All responses should be sent </w:t>
      </w:r>
      <w:r w:rsidR="00D629A5">
        <w:t xml:space="preserve">by email </w:t>
      </w:r>
      <w:r w:rsidR="00D349E4">
        <w:t xml:space="preserve">to </w:t>
      </w:r>
      <w:hyperlink r:id="rId15" w:history="1">
        <w:r w:rsidR="00D629A5" w:rsidRPr="00456DFA">
          <w:rPr>
            <w:rStyle w:val="Hyperlink"/>
          </w:rPr>
          <w:t>consultation@gamblingcommission.gov.uk</w:t>
        </w:r>
      </w:hyperlink>
      <w:r w:rsidR="00B7495F">
        <w:t xml:space="preserve"> </w:t>
      </w:r>
      <w:hyperlink r:id="rId16" w:history="1"/>
      <w:proofErr w:type="gramStart"/>
      <w:r w:rsidR="00D349E4">
        <w:t>by</w:t>
      </w:r>
      <w:r w:rsidR="00BF68DE" w:rsidRPr="00BF68DE">
        <w:rPr>
          <w:b/>
        </w:rPr>
        <w:t>5pm</w:t>
      </w:r>
      <w:proofErr w:type="gramEnd"/>
      <w:r w:rsidR="00BF68DE" w:rsidRPr="00BF68DE">
        <w:rPr>
          <w:b/>
        </w:rPr>
        <w:t xml:space="preserve"> on Sunday 22 April 2018</w:t>
      </w:r>
      <w:r w:rsidR="00D349E4">
        <w:t>.</w:t>
      </w:r>
    </w:p>
    <w:p w:rsidR="00D629A5" w:rsidRDefault="00D629A5" w:rsidP="0069356B">
      <w:pPr>
        <w:pStyle w:val="Basictext"/>
        <w:ind w:left="720" w:hanging="720"/>
      </w:pPr>
    </w:p>
    <w:p w:rsidR="00D629A5" w:rsidRDefault="00D629A5" w:rsidP="0069356B">
      <w:pPr>
        <w:pStyle w:val="Basictext"/>
        <w:ind w:left="720" w:hanging="720"/>
      </w:pPr>
      <w:r>
        <w:tab/>
        <w:t>Alternatively, responses can be sent by post to:</w:t>
      </w:r>
    </w:p>
    <w:p w:rsidR="00BF68DE" w:rsidRDefault="00BF68DE" w:rsidP="001F49A5">
      <w:pPr>
        <w:pStyle w:val="Basictext"/>
        <w:ind w:left="720" w:firstLine="0"/>
      </w:pPr>
      <w:r w:rsidRPr="000E3599">
        <w:t xml:space="preserve">Proposals linked to Fair and </w:t>
      </w:r>
      <w:r w:rsidR="005C17C5">
        <w:t>o</w:t>
      </w:r>
      <w:r w:rsidR="005C17C5" w:rsidRPr="000E3599">
        <w:t>pen</w:t>
      </w:r>
      <w:r w:rsidR="005C17C5">
        <w:t xml:space="preserve"> consultation</w:t>
      </w:r>
    </w:p>
    <w:p w:rsidR="00601E87" w:rsidRDefault="00601E87" w:rsidP="001F49A5">
      <w:pPr>
        <w:pStyle w:val="Basictext"/>
        <w:ind w:left="720" w:firstLine="0"/>
      </w:pPr>
      <w:r>
        <w:t>Gambling Commission</w:t>
      </w:r>
    </w:p>
    <w:p w:rsidR="00601E87" w:rsidRDefault="00601E87" w:rsidP="00601E87">
      <w:pPr>
        <w:pStyle w:val="Basictext"/>
        <w:ind w:left="720" w:firstLine="0"/>
      </w:pPr>
      <w:r>
        <w:t>Victoria Square House</w:t>
      </w:r>
    </w:p>
    <w:p w:rsidR="00601E87" w:rsidRDefault="00601E87" w:rsidP="00601E87">
      <w:pPr>
        <w:pStyle w:val="Basictext"/>
        <w:ind w:left="720" w:firstLine="0"/>
      </w:pPr>
      <w:smartTag w:uri="urn:schemas-microsoft-com:office:smarttags" w:element="Street">
        <w:smartTag w:uri="urn:schemas-microsoft-com:office:smarttags" w:element="address">
          <w:r>
            <w:t>Victoria Square</w:t>
          </w:r>
        </w:smartTag>
      </w:smartTag>
    </w:p>
    <w:p w:rsidR="00601E87" w:rsidRDefault="00601E87" w:rsidP="00601E87">
      <w:pPr>
        <w:pStyle w:val="Basictext"/>
        <w:ind w:left="720" w:firstLine="0"/>
      </w:pPr>
      <w:r>
        <w:t>BirminghamB2 4BP</w:t>
      </w:r>
    </w:p>
    <w:p w:rsidR="00B9664C" w:rsidRDefault="00B9664C" w:rsidP="0069356B">
      <w:pPr>
        <w:pStyle w:val="Basictext"/>
        <w:ind w:left="720" w:hanging="720"/>
      </w:pPr>
    </w:p>
    <w:tbl>
      <w:tblPr>
        <w:tblW w:w="0" w:type="auto"/>
        <w:tblBorders>
          <w:insideV w:val="single" w:sz="4" w:space="0" w:color="auto"/>
        </w:tblBorders>
        <w:tblLook w:val="01E0"/>
      </w:tblPr>
      <w:tblGrid>
        <w:gridCol w:w="3794"/>
        <w:gridCol w:w="4961"/>
        <w:gridCol w:w="1066"/>
      </w:tblGrid>
      <w:tr w:rsidR="00914F60" w:rsidTr="00914F60">
        <w:tc>
          <w:tcPr>
            <w:tcW w:w="3794" w:type="dxa"/>
          </w:tcPr>
          <w:p w:rsidR="00914F60" w:rsidRPr="00E5731A" w:rsidRDefault="00914F60" w:rsidP="0016644C">
            <w:pPr>
              <w:pStyle w:val="Basictext"/>
              <w:spacing w:before="60" w:after="60"/>
              <w:ind w:left="709" w:firstLine="0"/>
              <w:rPr>
                <w:b/>
              </w:rPr>
            </w:pPr>
            <w:r w:rsidRPr="00E5731A">
              <w:rPr>
                <w:b/>
              </w:rPr>
              <w:t xml:space="preserve">Name:  </w:t>
            </w:r>
          </w:p>
        </w:tc>
        <w:tc>
          <w:tcPr>
            <w:tcW w:w="4961" w:type="dxa"/>
            <w:tcBorders>
              <w:top w:val="single" w:sz="4" w:space="0" w:color="auto"/>
              <w:bottom w:val="single" w:sz="4" w:space="0" w:color="auto"/>
            </w:tcBorders>
          </w:tcPr>
          <w:p w:rsidR="00914F60" w:rsidRPr="00E5731A" w:rsidRDefault="00F64161" w:rsidP="0016644C">
            <w:pPr>
              <w:pStyle w:val="Basictext"/>
              <w:spacing w:before="60" w:after="60"/>
              <w:ind w:left="709" w:firstLine="0"/>
              <w:rPr>
                <w:b/>
              </w:rPr>
            </w:pPr>
            <w:r>
              <w:rPr>
                <w:b/>
              </w:rPr>
              <w:t>Alison Mather</w:t>
            </w:r>
          </w:p>
        </w:tc>
        <w:tc>
          <w:tcPr>
            <w:tcW w:w="1066" w:type="dxa"/>
          </w:tcPr>
          <w:p w:rsidR="00914F60" w:rsidRPr="00E5731A" w:rsidRDefault="00914F60" w:rsidP="0016644C">
            <w:pPr>
              <w:pStyle w:val="Basictext"/>
              <w:spacing w:before="60" w:after="60"/>
              <w:ind w:left="709" w:firstLine="0"/>
              <w:rPr>
                <w:b/>
              </w:rPr>
            </w:pPr>
          </w:p>
        </w:tc>
      </w:tr>
      <w:tr w:rsidR="00914F60" w:rsidTr="00914F60">
        <w:tc>
          <w:tcPr>
            <w:tcW w:w="3794" w:type="dxa"/>
          </w:tcPr>
          <w:p w:rsidR="00914F60" w:rsidRPr="00E5731A" w:rsidRDefault="00914F60" w:rsidP="0016644C">
            <w:pPr>
              <w:pStyle w:val="Basictext"/>
              <w:spacing w:before="60" w:after="60"/>
              <w:ind w:left="709" w:firstLine="0"/>
              <w:rPr>
                <w:b/>
              </w:rPr>
            </w:pPr>
            <w:r w:rsidRPr="00E5731A">
              <w:rPr>
                <w:b/>
              </w:rPr>
              <w:t xml:space="preserve">Organisation:  </w:t>
            </w:r>
          </w:p>
        </w:tc>
        <w:tc>
          <w:tcPr>
            <w:tcW w:w="4961" w:type="dxa"/>
            <w:tcBorders>
              <w:top w:val="single" w:sz="4" w:space="0" w:color="auto"/>
              <w:bottom w:val="single" w:sz="4" w:space="0" w:color="auto"/>
            </w:tcBorders>
          </w:tcPr>
          <w:p w:rsidR="00914F60" w:rsidRPr="00E5731A" w:rsidRDefault="00F64161" w:rsidP="0016644C">
            <w:pPr>
              <w:pStyle w:val="Basictext"/>
              <w:spacing w:before="60" w:after="60"/>
              <w:ind w:left="709" w:firstLine="0"/>
              <w:rPr>
                <w:b/>
              </w:rPr>
            </w:pPr>
            <w:r>
              <w:rPr>
                <w:b/>
              </w:rPr>
              <w:t>Quaker Action on Alcohol and Drugs</w:t>
            </w:r>
          </w:p>
        </w:tc>
        <w:tc>
          <w:tcPr>
            <w:tcW w:w="1066" w:type="dxa"/>
          </w:tcPr>
          <w:p w:rsidR="00914F60" w:rsidRPr="00E5731A" w:rsidRDefault="00914F60" w:rsidP="0016644C">
            <w:pPr>
              <w:pStyle w:val="Basictext"/>
              <w:spacing w:before="60" w:after="60"/>
              <w:ind w:left="709" w:firstLine="0"/>
              <w:rPr>
                <w:b/>
              </w:rPr>
            </w:pPr>
          </w:p>
        </w:tc>
      </w:tr>
      <w:tr w:rsidR="00914F60" w:rsidTr="00914F60">
        <w:tc>
          <w:tcPr>
            <w:tcW w:w="3794" w:type="dxa"/>
          </w:tcPr>
          <w:p w:rsidR="00914F60" w:rsidRPr="00E5731A" w:rsidRDefault="00914F60" w:rsidP="0016644C">
            <w:pPr>
              <w:pStyle w:val="Basictext"/>
              <w:spacing w:before="60" w:after="60"/>
              <w:ind w:left="709" w:firstLine="0"/>
              <w:rPr>
                <w:b/>
              </w:rPr>
            </w:pPr>
            <w:r>
              <w:rPr>
                <w:b/>
              </w:rPr>
              <w:t xml:space="preserve">Email address: </w:t>
            </w:r>
          </w:p>
        </w:tc>
        <w:tc>
          <w:tcPr>
            <w:tcW w:w="4961" w:type="dxa"/>
            <w:tcBorders>
              <w:top w:val="single" w:sz="4" w:space="0" w:color="auto"/>
              <w:bottom w:val="single" w:sz="4" w:space="0" w:color="auto"/>
            </w:tcBorders>
          </w:tcPr>
          <w:p w:rsidR="00914F60" w:rsidRPr="00E5731A" w:rsidRDefault="00F64161" w:rsidP="0016644C">
            <w:pPr>
              <w:pStyle w:val="Basictext"/>
              <w:spacing w:before="60" w:after="60"/>
              <w:ind w:left="709" w:firstLine="0"/>
              <w:rPr>
                <w:b/>
              </w:rPr>
            </w:pPr>
            <w:r>
              <w:rPr>
                <w:b/>
              </w:rPr>
              <w:t>Alison@qaad.org</w:t>
            </w:r>
          </w:p>
        </w:tc>
        <w:tc>
          <w:tcPr>
            <w:tcW w:w="1066" w:type="dxa"/>
          </w:tcPr>
          <w:p w:rsidR="00914F60" w:rsidRPr="00E5731A" w:rsidRDefault="00914F60" w:rsidP="0016644C">
            <w:pPr>
              <w:pStyle w:val="Basictext"/>
              <w:spacing w:before="60" w:after="60"/>
              <w:ind w:left="709" w:firstLine="0"/>
              <w:rPr>
                <w:b/>
              </w:rPr>
            </w:pPr>
          </w:p>
        </w:tc>
      </w:tr>
      <w:tr w:rsidR="00D349E4" w:rsidRPr="00E5731A" w:rsidTr="001701FC">
        <w:tblPrEx>
          <w:tblBorders>
            <w:top w:val="single" w:sz="4" w:space="0" w:color="auto"/>
            <w:left w:val="single" w:sz="4" w:space="0" w:color="auto"/>
            <w:bottom w:val="single" w:sz="4" w:space="0" w:color="auto"/>
            <w:right w:val="single" w:sz="4" w:space="0" w:color="auto"/>
            <w:insideH w:val="single" w:sz="4" w:space="0" w:color="auto"/>
          </w:tblBorders>
        </w:tblPrEx>
        <w:trPr>
          <w:trHeight w:val="204"/>
        </w:trPr>
        <w:tc>
          <w:tcPr>
            <w:tcW w:w="9821" w:type="dxa"/>
            <w:gridSpan w:val="3"/>
            <w:tcBorders>
              <w:top w:val="nil"/>
              <w:left w:val="nil"/>
              <w:bottom w:val="nil"/>
              <w:right w:val="nil"/>
            </w:tcBorders>
          </w:tcPr>
          <w:p w:rsidR="001116E5" w:rsidRDefault="001116E5" w:rsidP="00E5731A">
            <w:pPr>
              <w:pStyle w:val="Basictext"/>
              <w:spacing w:before="60" w:after="60"/>
              <w:ind w:left="0" w:firstLine="0"/>
            </w:pPr>
          </w:p>
          <w:p w:rsidR="001116E5" w:rsidRDefault="001116E5" w:rsidP="005935BA">
            <w:pPr>
              <w:pStyle w:val="Basictext"/>
              <w:numPr>
                <w:ilvl w:val="1"/>
                <w:numId w:val="26"/>
              </w:numPr>
              <w:spacing w:before="60" w:after="60"/>
              <w:ind w:left="709" w:hanging="709"/>
            </w:pPr>
            <w:r>
              <w:t>If you are responding on behalf of an organisation, please indicate which type of organisation: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1"/>
              <w:gridCol w:w="708"/>
              <w:gridCol w:w="3386"/>
              <w:gridCol w:w="583"/>
            </w:tblGrid>
            <w:tr w:rsidR="00122DF6" w:rsidTr="009F64A4">
              <w:trPr>
                <w:jc w:val="center"/>
              </w:trPr>
              <w:tc>
                <w:tcPr>
                  <w:tcW w:w="3401" w:type="dxa"/>
                </w:tcPr>
                <w:p w:rsidR="00122DF6" w:rsidRDefault="00122DF6" w:rsidP="00FC1194">
                  <w:pPr>
                    <w:pStyle w:val="Basictext"/>
                    <w:spacing w:before="60" w:after="60"/>
                    <w:ind w:left="0" w:firstLine="0"/>
                  </w:pPr>
                  <w:r>
                    <w:t>Industry body</w:t>
                  </w:r>
                </w:p>
              </w:tc>
              <w:tc>
                <w:tcPr>
                  <w:tcW w:w="708" w:type="dxa"/>
                </w:tcPr>
                <w:p w:rsidR="00122DF6" w:rsidRDefault="00122DF6" w:rsidP="00FC1194">
                  <w:pPr>
                    <w:pStyle w:val="Basictext"/>
                    <w:spacing w:before="60" w:after="60"/>
                    <w:ind w:left="0" w:firstLine="0"/>
                  </w:pPr>
                </w:p>
              </w:tc>
              <w:tc>
                <w:tcPr>
                  <w:tcW w:w="3386" w:type="dxa"/>
                </w:tcPr>
                <w:p w:rsidR="00122DF6" w:rsidRDefault="00122DF6" w:rsidP="00FC1194">
                  <w:pPr>
                    <w:pStyle w:val="Basictext"/>
                    <w:spacing w:before="60" w:after="60"/>
                    <w:ind w:left="0" w:firstLine="0"/>
                  </w:pPr>
                  <w:r>
                    <w:t>Regulatory body</w:t>
                  </w:r>
                </w:p>
              </w:tc>
              <w:tc>
                <w:tcPr>
                  <w:tcW w:w="583" w:type="dxa"/>
                </w:tcPr>
                <w:p w:rsidR="00122DF6" w:rsidRDefault="00122DF6" w:rsidP="00FC1194">
                  <w:pPr>
                    <w:pStyle w:val="Basictext"/>
                    <w:spacing w:before="60" w:after="60"/>
                    <w:ind w:left="0" w:firstLine="0"/>
                  </w:pPr>
                </w:p>
              </w:tc>
            </w:tr>
            <w:tr w:rsidR="00122DF6" w:rsidTr="009F64A4">
              <w:trPr>
                <w:jc w:val="center"/>
              </w:trPr>
              <w:tc>
                <w:tcPr>
                  <w:tcW w:w="3401" w:type="dxa"/>
                </w:tcPr>
                <w:p w:rsidR="00122DF6" w:rsidRDefault="00122DF6" w:rsidP="00FC1194">
                  <w:pPr>
                    <w:pStyle w:val="Basictext"/>
                    <w:spacing w:before="60" w:after="60"/>
                    <w:ind w:left="0" w:firstLine="0"/>
                  </w:pPr>
                  <w:r>
                    <w:t>Government body</w:t>
                  </w:r>
                </w:p>
              </w:tc>
              <w:tc>
                <w:tcPr>
                  <w:tcW w:w="708" w:type="dxa"/>
                </w:tcPr>
                <w:p w:rsidR="00122DF6" w:rsidRDefault="00122DF6" w:rsidP="00FC1194">
                  <w:pPr>
                    <w:pStyle w:val="Basictext"/>
                    <w:spacing w:before="60" w:after="60"/>
                    <w:ind w:left="0" w:firstLine="0"/>
                  </w:pPr>
                </w:p>
              </w:tc>
              <w:tc>
                <w:tcPr>
                  <w:tcW w:w="3386" w:type="dxa"/>
                </w:tcPr>
                <w:p w:rsidR="00122DF6" w:rsidRDefault="00122DF6" w:rsidP="00FC1194">
                  <w:pPr>
                    <w:pStyle w:val="Basictext"/>
                    <w:spacing w:before="60" w:after="60"/>
                    <w:ind w:left="0" w:firstLine="0"/>
                  </w:pPr>
                  <w:r>
                    <w:t>Charity</w:t>
                  </w:r>
                </w:p>
              </w:tc>
              <w:tc>
                <w:tcPr>
                  <w:tcW w:w="583" w:type="dxa"/>
                </w:tcPr>
                <w:p w:rsidR="00122DF6" w:rsidRDefault="00122DF6" w:rsidP="00FC1194">
                  <w:pPr>
                    <w:pStyle w:val="Basictext"/>
                    <w:spacing w:before="60" w:after="60"/>
                    <w:ind w:left="0" w:firstLine="0"/>
                  </w:pPr>
                </w:p>
              </w:tc>
            </w:tr>
            <w:tr w:rsidR="00122DF6" w:rsidTr="009F64A4">
              <w:trPr>
                <w:jc w:val="center"/>
              </w:trPr>
              <w:tc>
                <w:tcPr>
                  <w:tcW w:w="3401" w:type="dxa"/>
                </w:tcPr>
                <w:p w:rsidR="00122DF6" w:rsidRDefault="00122DF6" w:rsidP="00FC1194">
                  <w:pPr>
                    <w:pStyle w:val="Basictext"/>
                    <w:spacing w:before="60" w:after="60"/>
                    <w:ind w:left="0" w:firstLine="0"/>
                  </w:pPr>
                  <w:r>
                    <w:t>Local authority</w:t>
                  </w:r>
                </w:p>
              </w:tc>
              <w:tc>
                <w:tcPr>
                  <w:tcW w:w="708" w:type="dxa"/>
                </w:tcPr>
                <w:p w:rsidR="00122DF6" w:rsidRDefault="00122DF6" w:rsidP="00FC1194">
                  <w:pPr>
                    <w:pStyle w:val="Basictext"/>
                    <w:spacing w:before="60" w:after="60"/>
                    <w:ind w:left="0" w:firstLine="0"/>
                  </w:pPr>
                </w:p>
              </w:tc>
              <w:tc>
                <w:tcPr>
                  <w:tcW w:w="3386" w:type="dxa"/>
                </w:tcPr>
                <w:p w:rsidR="00122DF6" w:rsidRDefault="00122DF6" w:rsidP="00FC1194">
                  <w:pPr>
                    <w:pStyle w:val="Basictext"/>
                    <w:spacing w:before="60" w:after="60"/>
                    <w:ind w:left="0" w:firstLine="0"/>
                  </w:pPr>
                  <w:r>
                    <w:t>Help group</w:t>
                  </w:r>
                </w:p>
              </w:tc>
              <w:tc>
                <w:tcPr>
                  <w:tcW w:w="583" w:type="dxa"/>
                </w:tcPr>
                <w:p w:rsidR="00122DF6" w:rsidRDefault="00122DF6" w:rsidP="00FC1194">
                  <w:pPr>
                    <w:pStyle w:val="Basictext"/>
                    <w:spacing w:before="60" w:after="60"/>
                    <w:ind w:left="0" w:firstLine="0"/>
                  </w:pPr>
                </w:p>
              </w:tc>
            </w:tr>
            <w:tr w:rsidR="00122DF6" w:rsidTr="009F64A4">
              <w:trPr>
                <w:jc w:val="center"/>
              </w:trPr>
              <w:tc>
                <w:tcPr>
                  <w:tcW w:w="3401" w:type="dxa"/>
                </w:tcPr>
                <w:p w:rsidR="00122DF6" w:rsidRDefault="00122DF6" w:rsidP="00FC1194">
                  <w:pPr>
                    <w:pStyle w:val="Basictext"/>
                    <w:spacing w:before="60" w:after="60"/>
                    <w:ind w:left="0" w:firstLine="0"/>
                  </w:pPr>
                  <w:r>
                    <w:t>Academic institution</w:t>
                  </w:r>
                </w:p>
              </w:tc>
              <w:tc>
                <w:tcPr>
                  <w:tcW w:w="708" w:type="dxa"/>
                </w:tcPr>
                <w:p w:rsidR="00122DF6" w:rsidRDefault="00122DF6" w:rsidP="00FC1194">
                  <w:pPr>
                    <w:pStyle w:val="Basictext"/>
                    <w:spacing w:before="60" w:after="60"/>
                    <w:ind w:left="0" w:firstLine="0"/>
                  </w:pPr>
                </w:p>
              </w:tc>
              <w:tc>
                <w:tcPr>
                  <w:tcW w:w="3386" w:type="dxa"/>
                </w:tcPr>
                <w:p w:rsidR="00122DF6" w:rsidRDefault="00122DF6" w:rsidP="00FC1194">
                  <w:pPr>
                    <w:pStyle w:val="Basictext"/>
                    <w:spacing w:before="60" w:after="60"/>
                    <w:ind w:left="0" w:firstLine="0"/>
                  </w:pPr>
                  <w:r>
                    <w:t>Faith group</w:t>
                  </w:r>
                </w:p>
              </w:tc>
              <w:tc>
                <w:tcPr>
                  <w:tcW w:w="583" w:type="dxa"/>
                </w:tcPr>
                <w:p w:rsidR="00122DF6" w:rsidRDefault="00F64161" w:rsidP="00FC1194">
                  <w:pPr>
                    <w:pStyle w:val="Basictext"/>
                    <w:spacing w:before="60" w:after="60"/>
                    <w:ind w:left="0" w:firstLine="0"/>
                  </w:pPr>
                  <w:r>
                    <w:t>x</w:t>
                  </w:r>
                </w:p>
              </w:tc>
            </w:tr>
            <w:tr w:rsidR="00122DF6" w:rsidTr="009F64A4">
              <w:trPr>
                <w:jc w:val="center"/>
              </w:trPr>
              <w:tc>
                <w:tcPr>
                  <w:tcW w:w="3401" w:type="dxa"/>
                </w:tcPr>
                <w:p w:rsidR="00122DF6" w:rsidRDefault="00122DF6" w:rsidP="00FC1194">
                  <w:pPr>
                    <w:pStyle w:val="Basictext"/>
                    <w:spacing w:before="60" w:after="60"/>
                    <w:ind w:left="0" w:firstLine="0"/>
                  </w:pPr>
                  <w:r>
                    <w:t>Other (please specify)</w:t>
                  </w:r>
                </w:p>
              </w:tc>
              <w:tc>
                <w:tcPr>
                  <w:tcW w:w="4677" w:type="dxa"/>
                  <w:gridSpan w:val="3"/>
                </w:tcPr>
                <w:p w:rsidR="00122DF6" w:rsidRDefault="00122DF6" w:rsidP="00FC1194">
                  <w:pPr>
                    <w:pStyle w:val="Basictext"/>
                    <w:spacing w:before="60" w:after="60"/>
                    <w:ind w:left="0" w:firstLine="0"/>
                  </w:pPr>
                </w:p>
              </w:tc>
            </w:tr>
          </w:tbl>
          <w:p w:rsidR="00261BC8" w:rsidRDefault="00261BC8" w:rsidP="001116E5">
            <w:pPr>
              <w:pStyle w:val="Basictext"/>
              <w:spacing w:before="60" w:after="60"/>
              <w:ind w:left="0" w:firstLine="0"/>
            </w:pPr>
          </w:p>
          <w:p w:rsidR="006D41C6" w:rsidRDefault="006D41C6" w:rsidP="001116E5">
            <w:pPr>
              <w:pStyle w:val="Basictext"/>
              <w:spacing w:before="60" w:after="60"/>
              <w:ind w:left="0" w:firstLine="0"/>
            </w:pPr>
            <w:r w:rsidRPr="00D56296">
              <w:rPr>
                <w:b/>
                <w:color w:val="FF6600"/>
              </w:rPr>
              <w:t>1.</w:t>
            </w:r>
            <w:r w:rsidR="005935BA">
              <w:rPr>
                <w:b/>
                <w:color w:val="FF6600"/>
              </w:rPr>
              <w:t>5</w:t>
            </w:r>
            <w:r>
              <w:t xml:space="preserve">     If you are responding as an individual, please indicate your own interest: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6"/>
            </w:tblGrid>
            <w:tr w:rsidR="006D41C6" w:rsidTr="009F64A4">
              <w:tc>
                <w:tcPr>
                  <w:tcW w:w="8886" w:type="dxa"/>
                </w:tcPr>
                <w:p w:rsidR="002F1CC3" w:rsidRDefault="002F1CC3" w:rsidP="007F1FF6">
                  <w:pPr>
                    <w:pStyle w:val="Basictext"/>
                    <w:spacing w:before="60" w:after="60"/>
                    <w:ind w:left="0" w:firstLine="0"/>
                  </w:pPr>
                </w:p>
              </w:tc>
            </w:tr>
          </w:tbl>
          <w:p w:rsidR="001701FC" w:rsidRPr="000B04C1" w:rsidRDefault="001701FC" w:rsidP="007A52AF">
            <w:pPr>
              <w:pStyle w:val="Basictext"/>
              <w:tabs>
                <w:tab w:val="left" w:pos="2985"/>
                <w:tab w:val="left" w:pos="7455"/>
              </w:tabs>
              <w:spacing w:before="60" w:after="60"/>
              <w:ind w:left="0" w:firstLine="0"/>
              <w:rPr>
                <w:sz w:val="2"/>
                <w:szCs w:val="2"/>
              </w:rPr>
            </w:pPr>
          </w:p>
        </w:tc>
      </w:tr>
      <w:tr w:rsidR="005935BA" w:rsidRPr="00E5731A" w:rsidTr="001701FC">
        <w:tblPrEx>
          <w:tblBorders>
            <w:top w:val="single" w:sz="4" w:space="0" w:color="auto"/>
            <w:left w:val="single" w:sz="4" w:space="0" w:color="auto"/>
            <w:bottom w:val="single" w:sz="4" w:space="0" w:color="auto"/>
            <w:right w:val="single" w:sz="4" w:space="0" w:color="auto"/>
            <w:insideH w:val="single" w:sz="4" w:space="0" w:color="auto"/>
          </w:tblBorders>
        </w:tblPrEx>
        <w:trPr>
          <w:trHeight w:val="204"/>
        </w:trPr>
        <w:tc>
          <w:tcPr>
            <w:tcW w:w="9821" w:type="dxa"/>
            <w:gridSpan w:val="3"/>
            <w:tcBorders>
              <w:top w:val="nil"/>
              <w:left w:val="nil"/>
              <w:bottom w:val="nil"/>
              <w:right w:val="nil"/>
            </w:tcBorders>
          </w:tcPr>
          <w:p w:rsidR="005935BA" w:rsidRDefault="005935BA" w:rsidP="00E5731A">
            <w:pPr>
              <w:pStyle w:val="Basictext"/>
              <w:spacing w:before="60" w:after="60"/>
              <w:ind w:left="0" w:firstLine="0"/>
            </w:pPr>
          </w:p>
          <w:p w:rsidR="009F64A4" w:rsidRDefault="009F64A4" w:rsidP="00E5731A">
            <w:pPr>
              <w:pStyle w:val="Basictext"/>
              <w:spacing w:before="60" w:after="60"/>
              <w:ind w:left="0" w:firstLine="0"/>
            </w:pPr>
          </w:p>
          <w:p w:rsidR="009F64A4" w:rsidRDefault="009F64A4" w:rsidP="00E5731A">
            <w:pPr>
              <w:pStyle w:val="Basictext"/>
              <w:spacing w:before="60" w:after="60"/>
              <w:ind w:left="0" w:firstLine="0"/>
            </w:pPr>
          </w:p>
          <w:p w:rsidR="009F64A4" w:rsidRDefault="009F64A4" w:rsidP="00E5731A">
            <w:pPr>
              <w:pStyle w:val="Basictext"/>
              <w:spacing w:before="60" w:after="60"/>
              <w:ind w:left="0" w:firstLine="0"/>
            </w:pPr>
          </w:p>
        </w:tc>
      </w:tr>
    </w:tbl>
    <w:p w:rsidR="007A52AF" w:rsidRPr="005855BD" w:rsidRDefault="00887CE4" w:rsidP="009F64A4">
      <w:pPr>
        <w:ind w:hanging="142"/>
        <w:rPr>
          <w:rFonts w:ascii="Arial" w:hAnsi="Arial" w:cs="Arial"/>
          <w:b/>
          <w:color w:val="FF6600"/>
          <w:szCs w:val="24"/>
        </w:rPr>
      </w:pPr>
      <w:r w:rsidRPr="005855BD">
        <w:rPr>
          <w:rFonts w:ascii="Arial" w:hAnsi="Arial" w:cs="Arial"/>
          <w:b/>
          <w:color w:val="FF6600"/>
          <w:szCs w:val="24"/>
        </w:rPr>
        <w:lastRenderedPageBreak/>
        <w:t xml:space="preserve">Section </w:t>
      </w:r>
      <w:r w:rsidR="00E3428E">
        <w:rPr>
          <w:rFonts w:ascii="Arial" w:hAnsi="Arial" w:cs="Arial"/>
          <w:b/>
          <w:color w:val="FF6600"/>
          <w:szCs w:val="24"/>
        </w:rPr>
        <w:t>2</w:t>
      </w:r>
      <w:r w:rsidR="00814AE8">
        <w:rPr>
          <w:rFonts w:ascii="Arial" w:hAnsi="Arial" w:cs="Arial"/>
          <w:b/>
          <w:color w:val="FF6600"/>
          <w:szCs w:val="24"/>
        </w:rPr>
        <w:t>.</w:t>
      </w:r>
      <w:r w:rsidR="00E3428E">
        <w:rPr>
          <w:rFonts w:ascii="Arial" w:hAnsi="Arial" w:cs="Arial"/>
          <w:b/>
          <w:color w:val="FF6600"/>
          <w:szCs w:val="24"/>
        </w:rPr>
        <w:t>1</w:t>
      </w:r>
      <w:r w:rsidR="0043078A">
        <w:rPr>
          <w:rFonts w:ascii="Arial" w:hAnsi="Arial" w:cs="Arial"/>
          <w:b/>
          <w:color w:val="FF6600"/>
          <w:szCs w:val="24"/>
        </w:rPr>
        <w:t xml:space="preserve"> – </w:t>
      </w:r>
      <w:r w:rsidR="00E3428E">
        <w:rPr>
          <w:rFonts w:ascii="Arial" w:hAnsi="Arial" w:cs="Arial"/>
          <w:b/>
          <w:color w:val="FF6600"/>
          <w:szCs w:val="24"/>
        </w:rPr>
        <w:t>2</w:t>
      </w:r>
      <w:r w:rsidR="0043078A">
        <w:rPr>
          <w:rFonts w:ascii="Arial" w:hAnsi="Arial" w:cs="Arial"/>
          <w:b/>
          <w:color w:val="FF6600"/>
          <w:szCs w:val="24"/>
        </w:rPr>
        <w:t>.</w:t>
      </w:r>
      <w:r w:rsidR="00E3428E">
        <w:rPr>
          <w:rFonts w:ascii="Arial" w:hAnsi="Arial" w:cs="Arial"/>
          <w:b/>
          <w:color w:val="FF6600"/>
          <w:szCs w:val="24"/>
        </w:rPr>
        <w:t>1</w:t>
      </w:r>
      <w:r w:rsidR="00BF68DE">
        <w:rPr>
          <w:rFonts w:ascii="Arial" w:hAnsi="Arial" w:cs="Arial"/>
          <w:b/>
          <w:color w:val="FF6600"/>
          <w:szCs w:val="24"/>
        </w:rPr>
        <w:t>0</w:t>
      </w:r>
      <w:r w:rsidRPr="005855BD">
        <w:rPr>
          <w:rFonts w:ascii="Arial" w:hAnsi="Arial" w:cs="Arial"/>
          <w:b/>
          <w:color w:val="FF6600"/>
          <w:szCs w:val="24"/>
        </w:rPr>
        <w:t xml:space="preserve"> of the consultation:</w:t>
      </w:r>
    </w:p>
    <w:p w:rsidR="0067558E" w:rsidRDefault="0067558E" w:rsidP="0067558E">
      <w:pPr>
        <w:pStyle w:val="Subhead1"/>
      </w:pPr>
    </w:p>
    <w:p w:rsidR="0067558E" w:rsidRDefault="00BF68DE" w:rsidP="00D86FBB">
      <w:pPr>
        <w:pStyle w:val="Subhead1"/>
        <w:ind w:hanging="862"/>
      </w:pPr>
      <w:r>
        <w:t>Compliance with the UK advertising codes</w:t>
      </w:r>
    </w:p>
    <w:p w:rsidR="00887CE4" w:rsidRPr="002E1E27" w:rsidRDefault="00887CE4" w:rsidP="002E1E27">
      <w:pPr>
        <w:rPr>
          <w:rFonts w:ascii="Arial" w:hAnsi="Arial" w:cs="Arial"/>
          <w:sz w:val="22"/>
          <w:szCs w:val="22"/>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tblPr>
      <w:tblGrid>
        <w:gridCol w:w="9821"/>
      </w:tblGrid>
      <w:tr w:rsidR="007A52AF" w:rsidRPr="00E5731A" w:rsidTr="005855BD">
        <w:tc>
          <w:tcPr>
            <w:tcW w:w="9821" w:type="dxa"/>
            <w:shd w:val="clear" w:color="auto" w:fill="FFC8A3"/>
          </w:tcPr>
          <w:p w:rsidR="005855BD" w:rsidRPr="00887CE4" w:rsidRDefault="00887CE4" w:rsidP="0099366F">
            <w:pPr>
              <w:pBdr>
                <w:top w:val="single" w:sz="4" w:space="1" w:color="FF6600"/>
                <w:left w:val="single" w:sz="4" w:space="4" w:color="FF6600"/>
                <w:bottom w:val="single" w:sz="4" w:space="1" w:color="FF6600"/>
                <w:right w:val="single" w:sz="4" w:space="4" w:color="FF6600"/>
              </w:pBdr>
              <w:ind w:left="426" w:hanging="426"/>
              <w:rPr>
                <w:rFonts w:ascii="Arial" w:hAnsi="Arial" w:cs="Arial"/>
                <w:sz w:val="22"/>
                <w:szCs w:val="22"/>
              </w:rPr>
            </w:pPr>
            <w:r w:rsidRPr="00887CE4">
              <w:rPr>
                <w:rFonts w:ascii="Arial" w:hAnsi="Arial" w:cs="Arial"/>
                <w:b/>
                <w:sz w:val="22"/>
                <w:szCs w:val="22"/>
              </w:rPr>
              <w:t>Q1.</w:t>
            </w:r>
            <w:r w:rsidR="00BF68DE">
              <w:rPr>
                <w:rFonts w:ascii="Arial" w:hAnsi="Arial" w:cs="Arial"/>
                <w:sz w:val="22"/>
                <w:szCs w:val="22"/>
              </w:rPr>
              <w:t>What are your views on elevating compliance with the UK Advertising Codes from an Ordinary code provision to a Social responsibility code provision?</w:t>
            </w:r>
            <w:r>
              <w:rPr>
                <w:rFonts w:ascii="Arial" w:hAnsi="Arial" w:cs="Arial"/>
                <w:sz w:val="22"/>
                <w:szCs w:val="22"/>
              </w:rPr>
              <w:tab/>
            </w:r>
          </w:p>
        </w:tc>
      </w:tr>
      <w:tr w:rsidR="007A52AF" w:rsidRPr="00FE6A6C" w:rsidTr="005855BD">
        <w:tc>
          <w:tcPr>
            <w:tcW w:w="9821" w:type="dxa"/>
            <w:shd w:val="clear" w:color="auto" w:fill="auto"/>
          </w:tcPr>
          <w:p w:rsidR="006D4E24" w:rsidRPr="006D4E24" w:rsidRDefault="006D4E24" w:rsidP="006D4E24">
            <w:pPr>
              <w:rPr>
                <w:rFonts w:ascii="Calibri" w:hAnsi="Calibri" w:cs="Calibri"/>
                <w:sz w:val="22"/>
                <w:szCs w:val="22"/>
              </w:rPr>
            </w:pPr>
            <w:r w:rsidRPr="006D4E24">
              <w:rPr>
                <w:rFonts w:ascii="Calibri" w:hAnsi="Calibri" w:cs="Calibri"/>
                <w:sz w:val="22"/>
                <w:szCs w:val="22"/>
              </w:rPr>
              <w:t xml:space="preserve">We </w:t>
            </w:r>
            <w:r w:rsidR="00D859B1" w:rsidRPr="006D4E24">
              <w:rPr>
                <w:rFonts w:ascii="Calibri" w:hAnsi="Calibri" w:cs="Calibri"/>
                <w:sz w:val="22"/>
                <w:szCs w:val="22"/>
              </w:rPr>
              <w:t xml:space="preserve">welcome </w:t>
            </w:r>
            <w:r w:rsidR="00D859B1">
              <w:rPr>
                <w:rFonts w:ascii="Calibri" w:hAnsi="Calibri" w:cs="Calibri"/>
                <w:sz w:val="22"/>
                <w:szCs w:val="22"/>
              </w:rPr>
              <w:t>and</w:t>
            </w:r>
            <w:r w:rsidR="00F1428E">
              <w:rPr>
                <w:rFonts w:ascii="Calibri" w:hAnsi="Calibri" w:cs="Calibri"/>
                <w:sz w:val="22"/>
                <w:szCs w:val="22"/>
              </w:rPr>
              <w:t xml:space="preserve"> support </w:t>
            </w:r>
            <w:r w:rsidRPr="006D4E24">
              <w:rPr>
                <w:rFonts w:ascii="Calibri" w:hAnsi="Calibri" w:cs="Calibri"/>
                <w:sz w:val="22"/>
                <w:szCs w:val="22"/>
              </w:rPr>
              <w:t>the proposed elevation of compliance to a Social Responsibility code provision.  As stated in the consultation document, and evidenced in recent action taken in relation to irresponsible practice by some industry operators, compliance with the Ordinary Code provision has been found to be inconsistent and has resulted in public perceptions of the industry as fair and trustworthy</w:t>
            </w:r>
            <w:r w:rsidR="00D859B1">
              <w:rPr>
                <w:rFonts w:ascii="Calibri" w:hAnsi="Calibri" w:cs="Calibri"/>
                <w:sz w:val="22"/>
                <w:szCs w:val="22"/>
              </w:rPr>
              <w:t xml:space="preserve"> falling to an all time low</w:t>
            </w:r>
            <w:r w:rsidRPr="006D4E24">
              <w:rPr>
                <w:rFonts w:ascii="Calibri" w:hAnsi="Calibri" w:cs="Calibri"/>
                <w:sz w:val="22"/>
                <w:szCs w:val="22"/>
              </w:rPr>
              <w:t>.  We note that a key principle underpinning the Advertising Codes, and one of the Commission’s specific objectives, is to protect children and young people and vulnerable customers.</w:t>
            </w:r>
          </w:p>
          <w:p w:rsidR="006D4E24" w:rsidRPr="006D4E24" w:rsidRDefault="006D4E24" w:rsidP="006D4E24">
            <w:pPr>
              <w:rPr>
                <w:rFonts w:ascii="Calibri" w:hAnsi="Calibri" w:cs="Calibri"/>
                <w:sz w:val="22"/>
                <w:szCs w:val="22"/>
              </w:rPr>
            </w:pPr>
          </w:p>
          <w:p w:rsidR="006D4E24" w:rsidRPr="006D4E24" w:rsidRDefault="006D4E24" w:rsidP="006D4E24">
            <w:pPr>
              <w:rPr>
                <w:rFonts w:ascii="Calibri" w:hAnsi="Calibri" w:cs="Calibri"/>
                <w:sz w:val="22"/>
                <w:szCs w:val="22"/>
              </w:rPr>
            </w:pPr>
            <w:r w:rsidRPr="006D4E24">
              <w:rPr>
                <w:rFonts w:ascii="Calibri" w:hAnsi="Calibri" w:cs="Calibri"/>
                <w:sz w:val="22"/>
                <w:szCs w:val="22"/>
              </w:rPr>
              <w:t>We have a strong and ongoing concern about the impact of problem gambling on individual gamblers, their fam</w:t>
            </w:r>
            <w:r w:rsidR="0087129A">
              <w:rPr>
                <w:rFonts w:ascii="Calibri" w:hAnsi="Calibri" w:cs="Calibri"/>
                <w:sz w:val="22"/>
                <w:szCs w:val="22"/>
              </w:rPr>
              <w:t xml:space="preserve">ilies and their communities. In our </w:t>
            </w:r>
            <w:r w:rsidRPr="006D4E24">
              <w:rPr>
                <w:rFonts w:ascii="Calibri" w:hAnsi="Calibri" w:cs="Calibri"/>
                <w:sz w:val="22"/>
                <w:szCs w:val="22"/>
              </w:rPr>
              <w:t xml:space="preserve">submission to the DCMS consultation on gaming machines and social responsibility measures (January 2018), </w:t>
            </w:r>
            <w:r w:rsidR="0087129A">
              <w:rPr>
                <w:rFonts w:ascii="Calibri" w:hAnsi="Calibri" w:cs="Calibri"/>
                <w:sz w:val="22"/>
                <w:szCs w:val="22"/>
              </w:rPr>
              <w:t xml:space="preserve">we </w:t>
            </w:r>
            <w:r w:rsidRPr="006D4E24">
              <w:rPr>
                <w:rFonts w:ascii="Calibri" w:hAnsi="Calibri" w:cs="Calibri"/>
                <w:sz w:val="22"/>
                <w:szCs w:val="22"/>
              </w:rPr>
              <w:t xml:space="preserve">highlighted </w:t>
            </w:r>
            <w:r w:rsidR="0087129A">
              <w:rPr>
                <w:rFonts w:ascii="Calibri" w:hAnsi="Calibri" w:cs="Calibri"/>
                <w:sz w:val="22"/>
                <w:szCs w:val="22"/>
              </w:rPr>
              <w:t xml:space="preserve">two </w:t>
            </w:r>
            <w:r w:rsidRPr="006D4E24">
              <w:rPr>
                <w:rFonts w:ascii="Calibri" w:hAnsi="Calibri" w:cs="Calibri"/>
                <w:sz w:val="22"/>
                <w:szCs w:val="22"/>
              </w:rPr>
              <w:t>Australian research</w:t>
            </w:r>
            <w:r w:rsidR="0087129A">
              <w:rPr>
                <w:rFonts w:ascii="Calibri" w:hAnsi="Calibri" w:cs="Calibri"/>
                <w:sz w:val="22"/>
                <w:szCs w:val="22"/>
              </w:rPr>
              <w:t xml:space="preserve"> </w:t>
            </w:r>
            <w:r w:rsidR="001A03B5">
              <w:rPr>
                <w:rFonts w:ascii="Calibri" w:hAnsi="Calibri" w:cs="Calibri"/>
                <w:sz w:val="22"/>
                <w:szCs w:val="22"/>
              </w:rPr>
              <w:t>studies</w:t>
            </w:r>
            <w:r w:rsidR="001A03B5" w:rsidRPr="006D4E24">
              <w:rPr>
                <w:rFonts w:ascii="Calibri" w:hAnsi="Calibri" w:cs="Calibri"/>
                <w:sz w:val="22"/>
                <w:szCs w:val="22"/>
              </w:rPr>
              <w:t xml:space="preserve"> which</w:t>
            </w:r>
            <w:r w:rsidRPr="006D4E24">
              <w:rPr>
                <w:rFonts w:ascii="Calibri" w:hAnsi="Calibri" w:cs="Calibri"/>
                <w:sz w:val="22"/>
                <w:szCs w:val="22"/>
              </w:rPr>
              <w:t xml:space="preserve"> provided evidence of risks associated with gambling advertising</w:t>
            </w:r>
            <w:r w:rsidR="0087129A">
              <w:rPr>
                <w:rFonts w:ascii="Calibri" w:hAnsi="Calibri" w:cs="Calibri"/>
                <w:sz w:val="22"/>
                <w:szCs w:val="22"/>
              </w:rPr>
              <w:t xml:space="preserve">. </w:t>
            </w:r>
            <w:r w:rsidR="00E269F2">
              <w:rPr>
                <w:rFonts w:ascii="Calibri" w:hAnsi="Calibri" w:cs="Calibri"/>
                <w:sz w:val="22"/>
                <w:szCs w:val="22"/>
              </w:rPr>
              <w:t>In t</w:t>
            </w:r>
            <w:r w:rsidR="0087129A">
              <w:rPr>
                <w:rFonts w:ascii="Calibri" w:hAnsi="Calibri" w:cs="Calibri"/>
                <w:sz w:val="22"/>
                <w:szCs w:val="22"/>
              </w:rPr>
              <w:t>he first</w:t>
            </w:r>
            <w:r w:rsidR="001A03B5" w:rsidRPr="006D4E24">
              <w:rPr>
                <w:rFonts w:ascii="Calibri" w:hAnsi="Calibri" w:cs="Calibri"/>
                <w:sz w:val="22"/>
                <w:szCs w:val="22"/>
                <w:vertAlign w:val="superscript"/>
              </w:rPr>
              <w:footnoteReference w:id="2"/>
            </w:r>
            <w:r w:rsidR="00E269F2">
              <w:rPr>
                <w:rFonts w:ascii="Calibri" w:hAnsi="Calibri" w:cs="Calibri"/>
                <w:sz w:val="22"/>
                <w:szCs w:val="22"/>
              </w:rPr>
              <w:t xml:space="preserve">, young men confirmed that </w:t>
            </w:r>
            <w:r w:rsidR="00E269F2" w:rsidRPr="006D4E24">
              <w:rPr>
                <w:rFonts w:ascii="Calibri" w:hAnsi="Calibri" w:cs="Calibri"/>
                <w:sz w:val="22"/>
                <w:szCs w:val="22"/>
              </w:rPr>
              <w:t>inducements offered by the industry were effective strategies in getting themselves (and other young men) to bet on sports and stimulated some individuals to sign up with more than one betting provider.</w:t>
            </w:r>
            <w:r w:rsidR="00E269F2" w:rsidRPr="006D4E24">
              <w:rPr>
                <w:rFonts w:ascii="Calibri" w:eastAsia="Times New Roman" w:hAnsi="Calibri" w:cs="Calibri"/>
                <w:sz w:val="22"/>
                <w:szCs w:val="22"/>
                <w:lang w:eastAsia="en-GB"/>
              </w:rPr>
              <w:t xml:space="preserve">  </w:t>
            </w:r>
            <w:r w:rsidR="00E269F2">
              <w:rPr>
                <w:rFonts w:ascii="Calibri" w:hAnsi="Calibri" w:cs="Calibri"/>
                <w:sz w:val="22"/>
                <w:szCs w:val="22"/>
              </w:rPr>
              <w:t>The second</w:t>
            </w:r>
            <w:r w:rsidR="00E269F2" w:rsidRPr="006D4E24">
              <w:rPr>
                <w:rFonts w:ascii="Calibri" w:hAnsi="Calibri" w:cs="Calibri"/>
                <w:sz w:val="22"/>
                <w:szCs w:val="22"/>
                <w:vertAlign w:val="superscript"/>
              </w:rPr>
              <w:footnoteReference w:id="3"/>
            </w:r>
            <w:proofErr w:type="gramStart"/>
            <w:r w:rsidR="00E269F2">
              <w:rPr>
                <w:rFonts w:ascii="Calibri" w:hAnsi="Calibri" w:cs="Calibri"/>
                <w:sz w:val="22"/>
                <w:szCs w:val="22"/>
              </w:rPr>
              <w:t>,</w:t>
            </w:r>
            <w:proofErr w:type="gramEnd"/>
            <w:r w:rsidR="00E269F2">
              <w:rPr>
                <w:rFonts w:ascii="Calibri" w:hAnsi="Calibri" w:cs="Calibri"/>
                <w:sz w:val="22"/>
                <w:szCs w:val="22"/>
              </w:rPr>
              <w:t xml:space="preserve"> </w:t>
            </w:r>
            <w:r w:rsidR="0087129A">
              <w:rPr>
                <w:rFonts w:ascii="Calibri" w:hAnsi="Calibri" w:cs="Calibri"/>
                <w:sz w:val="22"/>
                <w:szCs w:val="22"/>
              </w:rPr>
              <w:t xml:space="preserve">found that </w:t>
            </w:r>
            <w:r w:rsidR="0087129A" w:rsidRPr="006D4E24">
              <w:rPr>
                <w:rFonts w:ascii="Calibri" w:hAnsi="Calibri" w:cs="Calibri"/>
                <w:sz w:val="22"/>
                <w:szCs w:val="22"/>
              </w:rPr>
              <w:t>many children indicated a key factor influencing their consumption intentions towards sports betting was the marketing and advertising of gambling products (and in particular sports betting).</w:t>
            </w:r>
            <w:r w:rsidR="00E269F2">
              <w:rPr>
                <w:rFonts w:ascii="Calibri" w:hAnsi="Calibri" w:cs="Calibri"/>
                <w:sz w:val="22"/>
                <w:szCs w:val="22"/>
              </w:rPr>
              <w:t xml:space="preserve"> </w:t>
            </w:r>
            <w:r w:rsidRPr="006D4E24">
              <w:rPr>
                <w:rFonts w:ascii="Calibri" w:hAnsi="Calibri" w:cs="Calibri"/>
                <w:sz w:val="22"/>
                <w:szCs w:val="22"/>
              </w:rPr>
              <w:t>Th</w:t>
            </w:r>
            <w:r w:rsidR="001A03B5">
              <w:rPr>
                <w:rFonts w:ascii="Calibri" w:hAnsi="Calibri" w:cs="Calibri"/>
                <w:sz w:val="22"/>
                <w:szCs w:val="22"/>
              </w:rPr>
              <w:t>ese findings</w:t>
            </w:r>
            <w:r w:rsidRPr="006D4E24">
              <w:rPr>
                <w:rFonts w:ascii="Calibri" w:hAnsi="Calibri" w:cs="Calibri"/>
                <w:sz w:val="22"/>
                <w:szCs w:val="22"/>
              </w:rPr>
              <w:t xml:space="preserve"> </w:t>
            </w:r>
            <w:r w:rsidR="00E269F2">
              <w:rPr>
                <w:rFonts w:ascii="Calibri" w:hAnsi="Calibri" w:cs="Calibri"/>
                <w:sz w:val="22"/>
                <w:szCs w:val="22"/>
              </w:rPr>
              <w:t>challenge</w:t>
            </w:r>
            <w:r w:rsidRPr="006D4E24">
              <w:rPr>
                <w:rFonts w:ascii="Calibri" w:hAnsi="Calibri" w:cs="Calibri"/>
                <w:sz w:val="22"/>
                <w:szCs w:val="22"/>
              </w:rPr>
              <w:t xml:space="preserve"> Per Binde’s survey of evidence (GambleAware, 2014), which found that the impact was likely to be ‘</w:t>
            </w:r>
            <w:r w:rsidRPr="006D4E24">
              <w:rPr>
                <w:rFonts w:ascii="Calibri" w:hAnsi="Calibri" w:cs="Calibri"/>
                <w:i/>
                <w:sz w:val="22"/>
                <w:szCs w:val="22"/>
              </w:rPr>
              <w:t>rather small’</w:t>
            </w:r>
            <w:r w:rsidRPr="006D4E24">
              <w:rPr>
                <w:rFonts w:ascii="Calibri" w:hAnsi="Calibri" w:cs="Calibri"/>
                <w:sz w:val="22"/>
                <w:szCs w:val="22"/>
              </w:rPr>
              <w:t xml:space="preserve">.  </w:t>
            </w:r>
          </w:p>
          <w:p w:rsidR="006D4E24" w:rsidRPr="006D4E24" w:rsidRDefault="006D4E24" w:rsidP="006D4E24">
            <w:pPr>
              <w:rPr>
                <w:rFonts w:ascii="Calibri" w:hAnsi="Calibri" w:cs="Calibri"/>
                <w:sz w:val="22"/>
                <w:szCs w:val="22"/>
              </w:rPr>
            </w:pPr>
          </w:p>
          <w:p w:rsidR="0043078A" w:rsidRDefault="006D4E24" w:rsidP="00B7495F">
            <w:pPr>
              <w:rPr>
                <w:rFonts w:ascii="Calibri" w:hAnsi="Calibri" w:cs="Calibri"/>
                <w:sz w:val="22"/>
                <w:szCs w:val="22"/>
              </w:rPr>
            </w:pPr>
            <w:r w:rsidRPr="006D4E24">
              <w:rPr>
                <w:rFonts w:ascii="Calibri" w:hAnsi="Calibri" w:cs="Calibri"/>
                <w:sz w:val="22"/>
                <w:szCs w:val="22"/>
              </w:rPr>
              <w:t xml:space="preserve">It is hoped that through the proposed strengthening of compliance requirements, standards will be raised, awareness of risk will be improved, and the importance of the Advertising Codes will be reinforced.  </w:t>
            </w:r>
          </w:p>
          <w:p w:rsidR="00B7495F" w:rsidRPr="00B7495F" w:rsidRDefault="00B7495F" w:rsidP="00B7495F">
            <w:pPr>
              <w:rPr>
                <w:rFonts w:ascii="Calibri" w:hAnsi="Calibri" w:cs="Calibri"/>
                <w:sz w:val="22"/>
                <w:szCs w:val="22"/>
              </w:rPr>
            </w:pPr>
          </w:p>
        </w:tc>
      </w:tr>
    </w:tbl>
    <w:p w:rsidR="0087129A" w:rsidRPr="002E1E27" w:rsidRDefault="0087129A" w:rsidP="0067558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67558E" w:rsidRPr="00E5731A" w:rsidTr="0067558E">
        <w:tc>
          <w:tcPr>
            <w:tcW w:w="9821" w:type="dxa"/>
            <w:tcBorders>
              <w:bottom w:val="single" w:sz="4" w:space="0" w:color="auto"/>
            </w:tcBorders>
            <w:shd w:val="clear" w:color="auto" w:fill="FFC8A3"/>
          </w:tcPr>
          <w:p w:rsidR="0067558E" w:rsidRPr="005855BD" w:rsidRDefault="0067558E" w:rsidP="00BF68DE">
            <w:pPr>
              <w:pBdr>
                <w:top w:val="single" w:sz="4" w:space="1" w:color="FF6600"/>
                <w:left w:val="single" w:sz="4" w:space="4" w:color="FF6600"/>
                <w:bottom w:val="single" w:sz="4" w:space="1" w:color="FF6600"/>
                <w:right w:val="single" w:sz="4" w:space="4" w:color="FF6600"/>
              </w:pBdr>
              <w:ind w:left="426" w:hanging="426"/>
              <w:rPr>
                <w:rFonts w:ascii="Arial" w:hAnsi="Arial" w:cs="Arial"/>
                <w:sz w:val="22"/>
                <w:szCs w:val="22"/>
              </w:rPr>
            </w:pPr>
            <w:r w:rsidRPr="005855BD">
              <w:rPr>
                <w:rFonts w:ascii="Arial" w:hAnsi="Arial" w:cs="Arial"/>
                <w:b/>
                <w:sz w:val="22"/>
                <w:szCs w:val="22"/>
              </w:rPr>
              <w:t>Q2.</w:t>
            </w:r>
            <w:r>
              <w:rPr>
                <w:rFonts w:ascii="Arial" w:hAnsi="Arial" w:cs="Arial"/>
                <w:sz w:val="22"/>
                <w:szCs w:val="22"/>
              </w:rPr>
              <w:tab/>
            </w:r>
            <w:r w:rsidR="00BF68DE">
              <w:rPr>
                <w:rFonts w:ascii="Arial" w:hAnsi="Arial" w:cs="Arial"/>
                <w:sz w:val="22"/>
                <w:szCs w:val="22"/>
              </w:rPr>
              <w:t>Are there any particular aspects of the UK Advertising Codes which would benefit from additional advice or guidance?</w:t>
            </w:r>
          </w:p>
        </w:tc>
      </w:tr>
      <w:tr w:rsidR="0067558E" w:rsidRPr="00FE6A6C" w:rsidTr="0067558E">
        <w:tc>
          <w:tcPr>
            <w:tcW w:w="9821" w:type="dxa"/>
            <w:shd w:val="clear" w:color="auto" w:fill="auto"/>
          </w:tcPr>
          <w:p w:rsidR="0043078A" w:rsidRPr="00FE6A6C" w:rsidRDefault="0043078A" w:rsidP="0067558E">
            <w:pPr>
              <w:pStyle w:val="Basictext"/>
              <w:spacing w:before="60" w:after="60"/>
              <w:ind w:left="0" w:firstLine="0"/>
            </w:pPr>
          </w:p>
        </w:tc>
      </w:tr>
    </w:tbl>
    <w:p w:rsidR="0087129A" w:rsidRDefault="0087129A" w:rsidP="0087129A">
      <w:pPr>
        <w:rPr>
          <w:rFonts w:ascii="Arial" w:hAnsi="Arial" w:cs="Arial"/>
          <w:sz w:val="22"/>
          <w:szCs w:val="22"/>
        </w:rPr>
      </w:pPr>
    </w:p>
    <w:p w:rsidR="00BF68DE" w:rsidRPr="005855BD" w:rsidRDefault="00BF68DE" w:rsidP="0087129A">
      <w:pPr>
        <w:rPr>
          <w:rFonts w:ascii="Arial" w:hAnsi="Arial" w:cs="Arial"/>
          <w:b/>
          <w:color w:val="FF6600"/>
          <w:szCs w:val="24"/>
        </w:rPr>
      </w:pPr>
      <w:r w:rsidRPr="005855BD">
        <w:rPr>
          <w:rFonts w:ascii="Arial" w:hAnsi="Arial" w:cs="Arial"/>
          <w:b/>
          <w:color w:val="FF6600"/>
          <w:szCs w:val="24"/>
        </w:rPr>
        <w:t xml:space="preserve">Section </w:t>
      </w:r>
      <w:r>
        <w:rPr>
          <w:rFonts w:ascii="Arial" w:hAnsi="Arial" w:cs="Arial"/>
          <w:b/>
          <w:color w:val="FF6600"/>
          <w:szCs w:val="24"/>
        </w:rPr>
        <w:t>2.1</w:t>
      </w:r>
      <w:r w:rsidR="00AB1ED2">
        <w:rPr>
          <w:rFonts w:ascii="Arial" w:hAnsi="Arial" w:cs="Arial"/>
          <w:b/>
          <w:color w:val="FF6600"/>
          <w:szCs w:val="24"/>
        </w:rPr>
        <w:t>1</w:t>
      </w:r>
      <w:r>
        <w:rPr>
          <w:rFonts w:ascii="Arial" w:hAnsi="Arial" w:cs="Arial"/>
          <w:b/>
          <w:color w:val="FF6600"/>
          <w:szCs w:val="24"/>
        </w:rPr>
        <w:t xml:space="preserve"> – 2.1</w:t>
      </w:r>
      <w:r w:rsidR="00AB1ED2">
        <w:rPr>
          <w:rFonts w:ascii="Arial" w:hAnsi="Arial" w:cs="Arial"/>
          <w:b/>
          <w:color w:val="FF6600"/>
          <w:szCs w:val="24"/>
        </w:rPr>
        <w:t>4</w:t>
      </w:r>
      <w:r w:rsidRPr="005855BD">
        <w:rPr>
          <w:rFonts w:ascii="Arial" w:hAnsi="Arial" w:cs="Arial"/>
          <w:b/>
          <w:color w:val="FF6600"/>
          <w:szCs w:val="24"/>
        </w:rPr>
        <w:t xml:space="preserve"> of the consultation:</w:t>
      </w:r>
    </w:p>
    <w:p w:rsidR="00BF68DE" w:rsidRDefault="00BF68DE" w:rsidP="00BF68DE">
      <w:pPr>
        <w:pStyle w:val="Subhead1"/>
      </w:pPr>
    </w:p>
    <w:p w:rsidR="00BF68DE" w:rsidRDefault="00AB1ED2" w:rsidP="00BF68DE">
      <w:pPr>
        <w:pStyle w:val="Subhead1"/>
        <w:ind w:hanging="862"/>
      </w:pPr>
      <w:r>
        <w:t>Marketing of offers</w:t>
      </w:r>
    </w:p>
    <w:p w:rsidR="00BF68DE" w:rsidRDefault="00BF68DE" w:rsidP="008B7F2F">
      <w:pPr>
        <w:pStyle w:val="Basict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5"/>
      </w:tblGrid>
      <w:tr w:rsidR="008B7F2F" w:rsidRPr="0029629A" w:rsidTr="00AB1ED2">
        <w:tc>
          <w:tcPr>
            <w:tcW w:w="9595" w:type="dxa"/>
            <w:shd w:val="clear" w:color="auto" w:fill="FFC8A3"/>
          </w:tcPr>
          <w:p w:rsidR="008B7F2F" w:rsidRPr="0067558E" w:rsidRDefault="005855BD" w:rsidP="00D86FBB">
            <w:pPr>
              <w:pBdr>
                <w:top w:val="single" w:sz="4" w:space="1" w:color="1996B9"/>
                <w:left w:val="single" w:sz="4" w:space="4" w:color="1996B9"/>
                <w:bottom w:val="single" w:sz="4" w:space="1" w:color="1996B9"/>
                <w:right w:val="single" w:sz="4" w:space="4" w:color="1996B9"/>
              </w:pBdr>
              <w:ind w:left="426" w:hanging="568"/>
              <w:rPr>
                <w:rFonts w:ascii="Arial" w:hAnsi="Arial" w:cs="Arial"/>
                <w:sz w:val="22"/>
                <w:szCs w:val="22"/>
              </w:rPr>
            </w:pPr>
            <w:r w:rsidRPr="005855BD">
              <w:rPr>
                <w:rFonts w:ascii="Arial" w:hAnsi="Arial" w:cs="Arial"/>
                <w:b/>
                <w:sz w:val="22"/>
                <w:szCs w:val="22"/>
              </w:rPr>
              <w:t>Q3.</w:t>
            </w:r>
            <w:r>
              <w:rPr>
                <w:rFonts w:ascii="Arial" w:hAnsi="Arial" w:cs="Arial"/>
                <w:sz w:val="22"/>
                <w:szCs w:val="22"/>
              </w:rPr>
              <w:tab/>
            </w:r>
            <w:r w:rsidR="00AB1ED2">
              <w:rPr>
                <w:rFonts w:ascii="Arial" w:hAnsi="Arial" w:cs="Arial"/>
                <w:sz w:val="22"/>
                <w:szCs w:val="22"/>
              </w:rPr>
              <w:t>What are your views on the re-drafting of SR code provision 5.1.7?</w:t>
            </w:r>
          </w:p>
        </w:tc>
      </w:tr>
      <w:tr w:rsidR="008B7F2F" w:rsidRPr="00FE6A6C" w:rsidTr="00AB1ED2">
        <w:tc>
          <w:tcPr>
            <w:tcW w:w="9595" w:type="dxa"/>
            <w:shd w:val="clear" w:color="auto" w:fill="auto"/>
          </w:tcPr>
          <w:p w:rsidR="00326C74" w:rsidRDefault="006D4E24" w:rsidP="006D4E24">
            <w:pPr>
              <w:rPr>
                <w:rFonts w:ascii="Calibri" w:hAnsi="Calibri" w:cs="Calibri"/>
                <w:sz w:val="22"/>
                <w:szCs w:val="22"/>
              </w:rPr>
            </w:pPr>
            <w:r w:rsidRPr="006D4E24">
              <w:rPr>
                <w:rFonts w:ascii="Calibri" w:hAnsi="Calibri" w:cs="Calibri"/>
                <w:sz w:val="22"/>
                <w:szCs w:val="22"/>
              </w:rPr>
              <w:t xml:space="preserve">We support the simplification and clarification provided through the </w:t>
            </w:r>
            <w:r w:rsidR="00D859B1">
              <w:rPr>
                <w:rFonts w:ascii="Calibri" w:hAnsi="Calibri" w:cs="Calibri"/>
                <w:sz w:val="22"/>
                <w:szCs w:val="22"/>
              </w:rPr>
              <w:t xml:space="preserve">proposed </w:t>
            </w:r>
            <w:r w:rsidRPr="006D4E24">
              <w:rPr>
                <w:rFonts w:ascii="Calibri" w:hAnsi="Calibri" w:cs="Calibri"/>
                <w:sz w:val="22"/>
                <w:szCs w:val="22"/>
              </w:rPr>
              <w:t xml:space="preserve">redrafting of SR code provision 5.1.7.  We also agree with the Commission’s proposal to retain this as a stand-alone licence code provision to highlight its expectations in this area.  In addition, we suggest that the Commission might consider making specific reference to CAP’s guidance on marketing of free bets and bonuses within the code provision. </w:t>
            </w:r>
          </w:p>
          <w:p w:rsidR="006D4E24" w:rsidRPr="006D4E24" w:rsidRDefault="006D4E24" w:rsidP="006D4E24">
            <w:pPr>
              <w:rPr>
                <w:rFonts w:ascii="Calibri" w:hAnsi="Calibri" w:cs="Calibri"/>
                <w:sz w:val="22"/>
                <w:szCs w:val="22"/>
              </w:rPr>
            </w:pPr>
          </w:p>
        </w:tc>
      </w:tr>
    </w:tbl>
    <w:p w:rsidR="00814AE8" w:rsidRDefault="00814AE8" w:rsidP="00814AE8">
      <w:pPr>
        <w:rPr>
          <w:rFonts w:ascii="Arial" w:hAnsi="Arial" w:cs="Arial"/>
          <w:b/>
          <w:color w:val="FF6600"/>
          <w:szCs w:val="24"/>
        </w:rPr>
      </w:pPr>
    </w:p>
    <w:p w:rsidR="0087129A" w:rsidRDefault="0087129A">
      <w:pPr>
        <w:rPr>
          <w:rFonts w:ascii="Arial" w:hAnsi="Arial" w:cs="Arial"/>
          <w:b/>
          <w:color w:val="FF6600"/>
          <w:szCs w:val="24"/>
        </w:rPr>
      </w:pPr>
      <w:r>
        <w:rPr>
          <w:rFonts w:ascii="Arial" w:hAnsi="Arial" w:cs="Arial"/>
          <w:b/>
          <w:color w:val="FF6600"/>
          <w:szCs w:val="24"/>
        </w:rPr>
        <w:br w:type="page"/>
      </w:r>
    </w:p>
    <w:p w:rsidR="00AB1ED2" w:rsidRPr="005855BD" w:rsidRDefault="00AB1ED2" w:rsidP="00AB1ED2">
      <w:pPr>
        <w:ind w:hanging="142"/>
        <w:rPr>
          <w:rFonts w:ascii="Arial" w:hAnsi="Arial" w:cs="Arial"/>
          <w:b/>
          <w:color w:val="FF6600"/>
          <w:szCs w:val="24"/>
        </w:rPr>
      </w:pPr>
      <w:r w:rsidRPr="005855BD">
        <w:rPr>
          <w:rFonts w:ascii="Arial" w:hAnsi="Arial" w:cs="Arial"/>
          <w:b/>
          <w:color w:val="FF6600"/>
          <w:szCs w:val="24"/>
        </w:rPr>
        <w:lastRenderedPageBreak/>
        <w:t xml:space="preserve">Section </w:t>
      </w:r>
      <w:r>
        <w:rPr>
          <w:rFonts w:ascii="Arial" w:hAnsi="Arial" w:cs="Arial"/>
          <w:b/>
          <w:color w:val="FF6600"/>
          <w:szCs w:val="24"/>
        </w:rPr>
        <w:t>2.15 – 2.22</w:t>
      </w:r>
      <w:r w:rsidRPr="005855BD">
        <w:rPr>
          <w:rFonts w:ascii="Arial" w:hAnsi="Arial" w:cs="Arial"/>
          <w:b/>
          <w:color w:val="FF6600"/>
          <w:szCs w:val="24"/>
        </w:rPr>
        <w:t xml:space="preserve"> of the consultation:</w:t>
      </w:r>
    </w:p>
    <w:p w:rsidR="00AB1ED2" w:rsidRDefault="00AB1ED2" w:rsidP="00AB1ED2">
      <w:pPr>
        <w:pStyle w:val="Subhead1"/>
      </w:pPr>
    </w:p>
    <w:p w:rsidR="00AB1ED2" w:rsidRPr="00AB1ED2" w:rsidRDefault="00AB1ED2" w:rsidP="00AB1ED2">
      <w:pPr>
        <w:pStyle w:val="Subhead1"/>
        <w:ind w:hanging="862"/>
      </w:pPr>
      <w:r>
        <w:t>Electronic marketing consent</w:t>
      </w:r>
    </w:p>
    <w:p w:rsidR="00AB1ED2" w:rsidRDefault="00AB1ED2" w:rsidP="00814AE8">
      <w:pPr>
        <w:rPr>
          <w:rFonts w:ascii="Arial" w:hAnsi="Arial" w:cs="Arial"/>
          <w:b/>
          <w:color w:val="FF66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E3428E" w:rsidRPr="0067558E" w:rsidTr="00311ABE">
        <w:tc>
          <w:tcPr>
            <w:tcW w:w="9821" w:type="dxa"/>
            <w:shd w:val="clear" w:color="auto" w:fill="FFC8A3"/>
          </w:tcPr>
          <w:p w:rsidR="00E3428E" w:rsidRPr="0067558E" w:rsidRDefault="00E3428E" w:rsidP="00311ABE">
            <w:pPr>
              <w:pBdr>
                <w:top w:val="single" w:sz="4" w:space="1" w:color="1996B9"/>
                <w:left w:val="single" w:sz="4" w:space="4" w:color="1996B9"/>
                <w:bottom w:val="single" w:sz="4" w:space="1" w:color="1996B9"/>
                <w:right w:val="single" w:sz="4" w:space="4" w:color="1996B9"/>
              </w:pBdr>
              <w:ind w:left="426" w:hanging="568"/>
              <w:rPr>
                <w:rFonts w:ascii="Arial" w:hAnsi="Arial" w:cs="Arial"/>
                <w:sz w:val="22"/>
                <w:szCs w:val="22"/>
              </w:rPr>
            </w:pPr>
            <w:r>
              <w:rPr>
                <w:rFonts w:ascii="Arial" w:hAnsi="Arial" w:cs="Arial"/>
                <w:b/>
                <w:sz w:val="22"/>
                <w:szCs w:val="22"/>
              </w:rPr>
              <w:t xml:space="preserve">  Q4</w:t>
            </w:r>
            <w:r w:rsidRPr="005855BD">
              <w:rPr>
                <w:rFonts w:ascii="Arial" w:hAnsi="Arial" w:cs="Arial"/>
                <w:b/>
                <w:sz w:val="22"/>
                <w:szCs w:val="22"/>
              </w:rPr>
              <w:t>.</w:t>
            </w:r>
            <w:r>
              <w:rPr>
                <w:rFonts w:ascii="Arial" w:hAnsi="Arial" w:cs="Arial"/>
                <w:sz w:val="22"/>
                <w:szCs w:val="22"/>
              </w:rPr>
              <w:tab/>
            </w:r>
            <w:r w:rsidR="006C19A1" w:rsidRPr="00921815">
              <w:rPr>
                <w:rFonts w:ascii="Arial" w:hAnsi="Arial" w:cs="Arial"/>
                <w:sz w:val="22"/>
                <w:szCs w:val="22"/>
              </w:rPr>
              <w:t>What are your views on the proposal to introduce a new SR code provision regarding direct e-marketing consent?</w:t>
            </w:r>
          </w:p>
        </w:tc>
      </w:tr>
      <w:tr w:rsidR="00E3428E" w:rsidRPr="00FE6A6C" w:rsidTr="00311ABE">
        <w:tc>
          <w:tcPr>
            <w:tcW w:w="9821" w:type="dxa"/>
            <w:shd w:val="clear" w:color="auto" w:fill="auto"/>
          </w:tcPr>
          <w:p w:rsidR="006D4E24" w:rsidRPr="006D4E24" w:rsidRDefault="006D4E24" w:rsidP="006D4E24">
            <w:pPr>
              <w:rPr>
                <w:rFonts w:ascii="Calibri" w:hAnsi="Calibri" w:cs="Calibri"/>
                <w:sz w:val="22"/>
                <w:szCs w:val="22"/>
              </w:rPr>
            </w:pPr>
            <w:r w:rsidRPr="006D4E24">
              <w:rPr>
                <w:rFonts w:ascii="Calibri" w:hAnsi="Calibri" w:cs="Calibri"/>
                <w:sz w:val="22"/>
                <w:szCs w:val="22"/>
              </w:rPr>
              <w:t xml:space="preserve">We welcome the introduction of a new SR code provision relating to direct e-marketing consent. </w:t>
            </w:r>
            <w:r w:rsidR="00D859B1">
              <w:rPr>
                <w:rFonts w:ascii="Calibri" w:hAnsi="Calibri" w:cs="Calibri"/>
                <w:sz w:val="22"/>
                <w:szCs w:val="22"/>
              </w:rPr>
              <w:t xml:space="preserve"> </w:t>
            </w:r>
            <w:r w:rsidRPr="006D4E24">
              <w:rPr>
                <w:rFonts w:ascii="Calibri" w:hAnsi="Calibri" w:cs="Calibri"/>
                <w:sz w:val="22"/>
                <w:szCs w:val="22"/>
              </w:rPr>
              <w:t xml:space="preserve">We </w:t>
            </w:r>
            <w:r w:rsidR="005C17C5">
              <w:rPr>
                <w:rFonts w:ascii="Calibri" w:hAnsi="Calibri" w:cs="Calibri"/>
                <w:sz w:val="22"/>
                <w:szCs w:val="22"/>
              </w:rPr>
              <w:t xml:space="preserve">would like to </w:t>
            </w:r>
            <w:r w:rsidRPr="006D4E24">
              <w:rPr>
                <w:rFonts w:ascii="Calibri" w:hAnsi="Calibri" w:cs="Calibri"/>
                <w:sz w:val="22"/>
                <w:szCs w:val="22"/>
              </w:rPr>
              <w:t xml:space="preserve">suggest </w:t>
            </w:r>
            <w:r w:rsidR="005C17C5">
              <w:rPr>
                <w:rFonts w:ascii="Calibri" w:hAnsi="Calibri" w:cs="Calibri"/>
                <w:sz w:val="22"/>
                <w:szCs w:val="22"/>
              </w:rPr>
              <w:t xml:space="preserve">that </w:t>
            </w:r>
            <w:r w:rsidRPr="006D4E24">
              <w:rPr>
                <w:rFonts w:ascii="Calibri" w:hAnsi="Calibri" w:cs="Calibri"/>
                <w:sz w:val="22"/>
                <w:szCs w:val="22"/>
              </w:rPr>
              <w:t xml:space="preserve">this could be further strengthened by explicit reference to the need for such information to be prominent and transparent (as for the marketing of offers in 5.1.7 above), and for it to be written in a way that can be easily understood. </w:t>
            </w:r>
            <w:r w:rsidR="005C17C5">
              <w:rPr>
                <w:rFonts w:ascii="Calibri" w:hAnsi="Calibri" w:cs="Calibri"/>
                <w:sz w:val="22"/>
                <w:szCs w:val="22"/>
              </w:rPr>
              <w:t xml:space="preserve"> Our response to Question 17 (Readability standard) is relevant here and for all forms of direct marketing (see below).</w:t>
            </w:r>
          </w:p>
          <w:p w:rsidR="00E3428E" w:rsidRPr="00FE6A6C" w:rsidRDefault="00E3428E" w:rsidP="005C17C5"/>
        </w:tc>
      </w:tr>
    </w:tbl>
    <w:p w:rsidR="00E3428E" w:rsidRDefault="00E3428E" w:rsidP="0099366F">
      <w:pPr>
        <w:ind w:hanging="142"/>
        <w:rPr>
          <w:rFonts w:ascii="Arial" w:hAnsi="Arial" w:cs="Arial"/>
          <w:b/>
          <w:color w:val="FF66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5"/>
      </w:tblGrid>
      <w:tr w:rsidR="0067558E" w:rsidRPr="0029629A" w:rsidTr="006C19A1">
        <w:tc>
          <w:tcPr>
            <w:tcW w:w="9595" w:type="dxa"/>
            <w:shd w:val="clear" w:color="auto" w:fill="FFC8A3"/>
          </w:tcPr>
          <w:p w:rsidR="0067558E" w:rsidRPr="0067558E" w:rsidRDefault="001509D3" w:rsidP="001509D3">
            <w:pPr>
              <w:pBdr>
                <w:top w:val="single" w:sz="4" w:space="1" w:color="1996B9"/>
                <w:left w:val="single" w:sz="4" w:space="4" w:color="1996B9"/>
                <w:bottom w:val="single" w:sz="4" w:space="1" w:color="1996B9"/>
                <w:right w:val="single" w:sz="4" w:space="4" w:color="1996B9"/>
              </w:pBdr>
              <w:ind w:left="426" w:hanging="568"/>
              <w:rPr>
                <w:rFonts w:ascii="Arial" w:hAnsi="Arial" w:cs="Arial"/>
                <w:sz w:val="22"/>
                <w:szCs w:val="22"/>
              </w:rPr>
            </w:pPr>
            <w:r>
              <w:rPr>
                <w:rFonts w:ascii="Arial" w:hAnsi="Arial" w:cs="Arial"/>
                <w:b/>
                <w:sz w:val="22"/>
                <w:szCs w:val="22"/>
              </w:rPr>
              <w:t>Q5</w:t>
            </w:r>
            <w:r w:rsidR="0067558E" w:rsidRPr="0067558E">
              <w:rPr>
                <w:rFonts w:ascii="Arial" w:hAnsi="Arial" w:cs="Arial"/>
                <w:b/>
                <w:sz w:val="22"/>
                <w:szCs w:val="22"/>
              </w:rPr>
              <w:t>.</w:t>
            </w:r>
            <w:r w:rsidR="006C19A1" w:rsidRPr="00921815">
              <w:rPr>
                <w:rFonts w:ascii="Arial" w:hAnsi="Arial" w:cs="Arial"/>
                <w:sz w:val="22"/>
                <w:szCs w:val="22"/>
              </w:rPr>
              <w:t>What are your views on broadening the proposed provision beyond direct e-marketing to include all</w:t>
            </w:r>
            <w:r w:rsidR="006C19A1">
              <w:rPr>
                <w:rFonts w:ascii="Arial" w:hAnsi="Arial" w:cs="Arial"/>
                <w:sz w:val="22"/>
                <w:szCs w:val="22"/>
              </w:rPr>
              <w:t xml:space="preserve"> forms of</w:t>
            </w:r>
            <w:r w:rsidR="006C19A1" w:rsidRPr="00921815">
              <w:rPr>
                <w:rFonts w:ascii="Arial" w:hAnsi="Arial" w:cs="Arial"/>
                <w:sz w:val="22"/>
                <w:szCs w:val="22"/>
              </w:rPr>
              <w:t xml:space="preserve"> direct marketing?</w:t>
            </w:r>
          </w:p>
        </w:tc>
      </w:tr>
      <w:tr w:rsidR="0067558E" w:rsidRPr="00FE6A6C" w:rsidTr="006C19A1">
        <w:tc>
          <w:tcPr>
            <w:tcW w:w="9595" w:type="dxa"/>
            <w:shd w:val="clear" w:color="auto" w:fill="auto"/>
          </w:tcPr>
          <w:p w:rsidR="006D4E24" w:rsidRPr="006D4E24" w:rsidRDefault="006D4E24" w:rsidP="006D4E24">
            <w:pPr>
              <w:rPr>
                <w:rFonts w:ascii="Calibri" w:hAnsi="Calibri" w:cs="Calibri"/>
                <w:sz w:val="22"/>
                <w:szCs w:val="22"/>
              </w:rPr>
            </w:pPr>
            <w:r w:rsidRPr="006D4E24">
              <w:rPr>
                <w:rFonts w:ascii="Calibri" w:hAnsi="Calibri" w:cs="Calibri"/>
                <w:sz w:val="22"/>
                <w:szCs w:val="22"/>
              </w:rPr>
              <w:t>We support the broadening of the proposed provision beyond direct e-marketing to include all forms of direct marketing. Research has confirmed that problem gamblers report that gambling advertisements can remind them about gambling, trigger gambling urges, provide inducements to gamble, further increase gambling involvement and undermine attempts to moderate their gambling.</w:t>
            </w:r>
            <w:r w:rsidRPr="006D4E24">
              <w:rPr>
                <w:rStyle w:val="FootnoteAnchor"/>
                <w:rFonts w:ascii="Calibri" w:hAnsi="Calibri" w:cs="Calibri"/>
                <w:sz w:val="22"/>
                <w:szCs w:val="22"/>
              </w:rPr>
              <w:footnoteReference w:id="4"/>
            </w:r>
            <w:r w:rsidRPr="006D4E24">
              <w:rPr>
                <w:rFonts w:ascii="Calibri" w:hAnsi="Calibri" w:cs="Calibri"/>
                <w:sz w:val="22"/>
                <w:szCs w:val="22"/>
              </w:rPr>
              <w:t xml:space="preserve">  Furthermore, adolescents and children are aware of, and can recall, specific slogans and jingles and may feel they are being groomed to gamble</w:t>
            </w:r>
            <w:r w:rsidRPr="006D4E24">
              <w:rPr>
                <w:rStyle w:val="FootnoteAnchor"/>
                <w:rFonts w:ascii="Calibri" w:hAnsi="Calibri" w:cs="Calibri"/>
                <w:sz w:val="22"/>
                <w:szCs w:val="22"/>
              </w:rPr>
              <w:footnoteReference w:id="5"/>
            </w:r>
            <w:r w:rsidRPr="006D4E24">
              <w:rPr>
                <w:rFonts w:ascii="Calibri" w:hAnsi="Calibri" w:cs="Calibri"/>
                <w:sz w:val="22"/>
                <w:szCs w:val="22"/>
              </w:rPr>
              <w:t xml:space="preserve"> </w:t>
            </w:r>
            <w:r w:rsidR="00D859B1">
              <w:rPr>
                <w:rFonts w:ascii="Calibri" w:hAnsi="Calibri" w:cs="Calibri"/>
                <w:sz w:val="22"/>
                <w:szCs w:val="22"/>
              </w:rPr>
              <w:t>, whilst</w:t>
            </w:r>
            <w:r w:rsidRPr="006D4E24">
              <w:rPr>
                <w:rFonts w:ascii="Calibri" w:hAnsi="Calibri" w:cs="Calibri"/>
                <w:sz w:val="22"/>
                <w:szCs w:val="22"/>
              </w:rPr>
              <w:t xml:space="preserve"> advertisements can increase adolescents' desire to experiment with gambling and prompt a gambling session</w:t>
            </w:r>
            <w:r w:rsidRPr="006D4E24">
              <w:rPr>
                <w:rStyle w:val="FootnoteAnchor"/>
                <w:rFonts w:ascii="Calibri" w:hAnsi="Calibri" w:cs="Calibri"/>
                <w:sz w:val="22"/>
                <w:szCs w:val="22"/>
              </w:rPr>
              <w:footnoteReference w:id="6"/>
            </w:r>
            <w:r w:rsidRPr="006D4E24">
              <w:rPr>
                <w:rFonts w:ascii="Calibri" w:hAnsi="Calibri" w:cs="Calibri"/>
                <w:sz w:val="22"/>
                <w:szCs w:val="22"/>
              </w:rPr>
              <w:t xml:space="preserve">.  </w:t>
            </w:r>
          </w:p>
          <w:p w:rsidR="006D4E24" w:rsidRPr="006D4E24" w:rsidRDefault="006D4E24" w:rsidP="006D4E24">
            <w:pPr>
              <w:rPr>
                <w:rFonts w:ascii="Calibri" w:hAnsi="Calibri" w:cs="Calibri"/>
                <w:sz w:val="22"/>
                <w:szCs w:val="22"/>
              </w:rPr>
            </w:pPr>
          </w:p>
          <w:p w:rsidR="006D4E24" w:rsidRPr="006D4E24" w:rsidRDefault="006D4E24" w:rsidP="006D4E24">
            <w:pPr>
              <w:rPr>
                <w:rFonts w:ascii="Calibri" w:hAnsi="Calibri" w:cs="Calibri"/>
                <w:sz w:val="22"/>
                <w:szCs w:val="22"/>
              </w:rPr>
            </w:pPr>
            <w:r w:rsidRPr="006D4E24">
              <w:rPr>
                <w:rFonts w:ascii="Calibri" w:hAnsi="Calibri" w:cs="Calibri"/>
                <w:sz w:val="22"/>
                <w:szCs w:val="22"/>
              </w:rPr>
              <w:t>This suggests a strong case for minimising the exposure to direct and targeted marketing by those most vulnerable to developing problem gambling, particularly given the increasing sophistication of marketing strategies and techniques in an evolving gambling landscape. One example of this is William Hill’s Plus card and app and ‘Omniwallet’:</w:t>
            </w:r>
          </w:p>
          <w:p w:rsidR="006D4E24" w:rsidRPr="006D4E24" w:rsidRDefault="006D4E24" w:rsidP="006D4E24">
            <w:pPr>
              <w:rPr>
                <w:rFonts w:ascii="Calibri" w:hAnsi="Calibri" w:cs="Calibri"/>
                <w:sz w:val="22"/>
                <w:szCs w:val="22"/>
              </w:rPr>
            </w:pPr>
          </w:p>
          <w:p w:rsidR="0043078A" w:rsidRDefault="006D4E24" w:rsidP="006D4E24">
            <w:pPr>
              <w:rPr>
                <w:rFonts w:ascii="Calibri" w:hAnsi="Calibri" w:cs="Calibri"/>
                <w:i/>
                <w:sz w:val="22"/>
                <w:szCs w:val="22"/>
              </w:rPr>
            </w:pPr>
            <w:r w:rsidRPr="006D4E24">
              <w:rPr>
                <w:rFonts w:ascii="Calibri" w:hAnsi="Calibri" w:cs="Calibri"/>
                <w:i/>
                <w:sz w:val="22"/>
                <w:szCs w:val="22"/>
              </w:rPr>
              <w:t>‘As their account is linked to a mobile phone number, we can also send offers to shop customers through push notifications for the first time...’</w:t>
            </w:r>
            <w:r w:rsidRPr="006D4E24">
              <w:rPr>
                <w:rStyle w:val="FootnoteReference"/>
                <w:rFonts w:ascii="Calibri" w:hAnsi="Calibri" w:cs="Calibri"/>
                <w:i/>
                <w:sz w:val="22"/>
                <w:szCs w:val="22"/>
              </w:rPr>
              <w:footnoteReference w:id="7"/>
            </w:r>
          </w:p>
          <w:p w:rsidR="00D859B1" w:rsidRPr="006D4E24" w:rsidRDefault="00D859B1" w:rsidP="006D4E24">
            <w:pPr>
              <w:rPr>
                <w:rFonts w:ascii="Calibri" w:hAnsi="Calibri" w:cs="Calibri"/>
                <w:i/>
                <w:sz w:val="22"/>
                <w:szCs w:val="22"/>
              </w:rPr>
            </w:pPr>
          </w:p>
        </w:tc>
      </w:tr>
    </w:tbl>
    <w:p w:rsidR="0043078A" w:rsidRDefault="0043078A" w:rsidP="0043078A">
      <w:pPr>
        <w:rPr>
          <w:rFonts w:ascii="Arial" w:hAnsi="Arial" w:cs="Arial"/>
          <w:b/>
          <w:szCs w:val="24"/>
        </w:rPr>
      </w:pPr>
    </w:p>
    <w:p w:rsidR="006C19A1" w:rsidRPr="005855BD" w:rsidRDefault="006C19A1" w:rsidP="006C19A1">
      <w:pPr>
        <w:ind w:hanging="142"/>
        <w:rPr>
          <w:rFonts w:ascii="Arial" w:hAnsi="Arial" w:cs="Arial"/>
          <w:b/>
          <w:color w:val="FF6600"/>
          <w:szCs w:val="24"/>
        </w:rPr>
      </w:pPr>
      <w:r w:rsidRPr="005855BD">
        <w:rPr>
          <w:rFonts w:ascii="Arial" w:hAnsi="Arial" w:cs="Arial"/>
          <w:b/>
          <w:color w:val="FF6600"/>
          <w:szCs w:val="24"/>
        </w:rPr>
        <w:t xml:space="preserve">Section </w:t>
      </w:r>
      <w:r>
        <w:rPr>
          <w:rFonts w:ascii="Arial" w:hAnsi="Arial" w:cs="Arial"/>
          <w:b/>
          <w:color w:val="FF6600"/>
          <w:szCs w:val="24"/>
        </w:rPr>
        <w:t>2.15 – 2.22</w:t>
      </w:r>
      <w:r w:rsidRPr="005855BD">
        <w:rPr>
          <w:rFonts w:ascii="Arial" w:hAnsi="Arial" w:cs="Arial"/>
          <w:b/>
          <w:color w:val="FF6600"/>
          <w:szCs w:val="24"/>
        </w:rPr>
        <w:t xml:space="preserve"> of the consultation:</w:t>
      </w:r>
    </w:p>
    <w:p w:rsidR="006C19A1" w:rsidRDefault="006C19A1" w:rsidP="006C19A1">
      <w:pPr>
        <w:pStyle w:val="Subhead1"/>
      </w:pPr>
    </w:p>
    <w:p w:rsidR="006C19A1" w:rsidRPr="00AB1ED2" w:rsidRDefault="006C19A1" w:rsidP="006C19A1">
      <w:pPr>
        <w:pStyle w:val="Subhead1"/>
        <w:ind w:hanging="862"/>
      </w:pPr>
      <w:r>
        <w:t>Responsibility for third parties</w:t>
      </w:r>
    </w:p>
    <w:p w:rsidR="006C19A1" w:rsidRDefault="006C19A1" w:rsidP="0043078A">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5"/>
      </w:tblGrid>
      <w:tr w:rsidR="001509D3" w:rsidRPr="0067558E" w:rsidTr="006C19A1">
        <w:tc>
          <w:tcPr>
            <w:tcW w:w="9595" w:type="dxa"/>
            <w:shd w:val="clear" w:color="auto" w:fill="FFC8A3"/>
          </w:tcPr>
          <w:p w:rsidR="001509D3" w:rsidRPr="0067558E" w:rsidRDefault="001509D3" w:rsidP="006D01B2">
            <w:pPr>
              <w:pBdr>
                <w:top w:val="single" w:sz="4" w:space="1" w:color="1996B9"/>
                <w:left w:val="single" w:sz="4" w:space="4" w:color="1996B9"/>
                <w:bottom w:val="single" w:sz="4" w:space="1" w:color="1996B9"/>
                <w:right w:val="single" w:sz="4" w:space="4" w:color="1996B9"/>
              </w:pBdr>
              <w:ind w:left="426" w:hanging="568"/>
              <w:rPr>
                <w:rFonts w:ascii="Arial" w:hAnsi="Arial" w:cs="Arial"/>
                <w:sz w:val="22"/>
                <w:szCs w:val="22"/>
              </w:rPr>
            </w:pPr>
            <w:r>
              <w:rPr>
                <w:rFonts w:ascii="Arial" w:hAnsi="Arial" w:cs="Arial"/>
                <w:b/>
                <w:sz w:val="22"/>
                <w:szCs w:val="22"/>
              </w:rPr>
              <w:t xml:space="preserve">  Q6</w:t>
            </w:r>
            <w:r w:rsidRPr="0067558E">
              <w:rPr>
                <w:rFonts w:ascii="Arial" w:hAnsi="Arial" w:cs="Arial"/>
                <w:b/>
                <w:sz w:val="22"/>
                <w:szCs w:val="22"/>
              </w:rPr>
              <w:t>.</w:t>
            </w:r>
            <w:r w:rsidR="006C19A1">
              <w:rPr>
                <w:rFonts w:ascii="Arial" w:hAnsi="Arial" w:cs="Arial"/>
                <w:sz w:val="22"/>
                <w:szCs w:val="22"/>
              </w:rPr>
              <w:t>What are your views on the proposed amendments to SR code provisions 1.1.2 and 1.1.3 (Responsibility for third parties) which reduce duplication between provisions and further clarify our position that operators are responsible for third parties with whom they contract, such as affiliates?</w:t>
            </w:r>
          </w:p>
        </w:tc>
      </w:tr>
      <w:tr w:rsidR="001509D3" w:rsidRPr="00FE6A6C" w:rsidTr="006C19A1">
        <w:tc>
          <w:tcPr>
            <w:tcW w:w="9595" w:type="dxa"/>
            <w:shd w:val="clear" w:color="auto" w:fill="auto"/>
          </w:tcPr>
          <w:p w:rsidR="006D4E24" w:rsidRDefault="006D4E24" w:rsidP="006D4E24">
            <w:pPr>
              <w:rPr>
                <w:rFonts w:ascii="Calibri" w:hAnsi="Calibri" w:cs="Calibri"/>
                <w:sz w:val="22"/>
                <w:szCs w:val="22"/>
              </w:rPr>
            </w:pPr>
            <w:r w:rsidRPr="006D4E24">
              <w:rPr>
                <w:rFonts w:ascii="Calibri" w:hAnsi="Calibri" w:cs="Calibri"/>
                <w:sz w:val="22"/>
                <w:szCs w:val="22"/>
              </w:rPr>
              <w:t>We support these proposed amendments.</w:t>
            </w:r>
          </w:p>
          <w:p w:rsidR="00D859B1" w:rsidRPr="006D4E24" w:rsidRDefault="00D859B1" w:rsidP="006D4E24">
            <w:pPr>
              <w:rPr>
                <w:rFonts w:ascii="Calibri" w:hAnsi="Calibri" w:cs="Calibri"/>
                <w:sz w:val="22"/>
                <w:szCs w:val="22"/>
              </w:rPr>
            </w:pPr>
          </w:p>
        </w:tc>
      </w:tr>
    </w:tbl>
    <w:p w:rsidR="001509D3" w:rsidRDefault="001509D3" w:rsidP="0099366F">
      <w:pPr>
        <w:ind w:hanging="142"/>
        <w:rPr>
          <w:rFonts w:ascii="Arial" w:hAnsi="Arial" w:cs="Arial"/>
          <w:b/>
          <w:color w:val="FF6600"/>
          <w:szCs w:val="24"/>
        </w:rPr>
      </w:pPr>
    </w:p>
    <w:p w:rsidR="0087129A" w:rsidRDefault="0087129A">
      <w:pPr>
        <w:rPr>
          <w:rFonts w:ascii="Arial" w:hAnsi="Arial" w:cs="Arial"/>
          <w:b/>
          <w:color w:val="FF6600"/>
          <w:szCs w:val="24"/>
        </w:rPr>
      </w:pPr>
      <w:r>
        <w:rPr>
          <w:rFonts w:ascii="Arial" w:hAnsi="Arial" w:cs="Arial"/>
          <w:b/>
          <w:color w:val="FF6600"/>
          <w:szCs w:val="24"/>
        </w:rPr>
        <w:br w:type="page"/>
      </w:r>
    </w:p>
    <w:p w:rsidR="0099366F" w:rsidRPr="005855BD" w:rsidRDefault="0099366F" w:rsidP="0099366F">
      <w:pPr>
        <w:ind w:hanging="142"/>
        <w:rPr>
          <w:rFonts w:ascii="Arial" w:hAnsi="Arial" w:cs="Arial"/>
          <w:b/>
          <w:color w:val="FF6600"/>
          <w:szCs w:val="24"/>
        </w:rPr>
      </w:pPr>
      <w:r w:rsidRPr="005855BD">
        <w:rPr>
          <w:rFonts w:ascii="Arial" w:hAnsi="Arial" w:cs="Arial"/>
          <w:b/>
          <w:color w:val="FF6600"/>
          <w:szCs w:val="24"/>
        </w:rPr>
        <w:lastRenderedPageBreak/>
        <w:t xml:space="preserve">Section </w:t>
      </w:r>
      <w:r w:rsidR="00BE5742">
        <w:rPr>
          <w:rFonts w:ascii="Arial" w:hAnsi="Arial" w:cs="Arial"/>
          <w:b/>
          <w:color w:val="FF6600"/>
          <w:szCs w:val="24"/>
        </w:rPr>
        <w:t>3.1</w:t>
      </w:r>
      <w:r w:rsidR="006C19A1">
        <w:rPr>
          <w:rFonts w:ascii="Arial" w:hAnsi="Arial" w:cs="Arial"/>
          <w:b/>
          <w:color w:val="FF6600"/>
          <w:szCs w:val="24"/>
        </w:rPr>
        <w:t xml:space="preserve"> – 3.16</w:t>
      </w:r>
      <w:r w:rsidRPr="005855BD">
        <w:rPr>
          <w:rFonts w:ascii="Arial" w:hAnsi="Arial" w:cs="Arial"/>
          <w:b/>
          <w:color w:val="FF6600"/>
          <w:szCs w:val="24"/>
        </w:rPr>
        <w:t xml:space="preserve"> of the consultation:</w:t>
      </w:r>
    </w:p>
    <w:p w:rsidR="0099366F" w:rsidRDefault="0099366F" w:rsidP="0099366F">
      <w:pPr>
        <w:pStyle w:val="Subhead1"/>
      </w:pPr>
    </w:p>
    <w:p w:rsidR="0099366F" w:rsidRDefault="006C19A1" w:rsidP="0099366F">
      <w:pPr>
        <w:pStyle w:val="Subhead1"/>
        <w:ind w:hanging="862"/>
      </w:pPr>
      <w:r>
        <w:t>Unfair terms</w:t>
      </w:r>
    </w:p>
    <w:p w:rsidR="0043078A" w:rsidRDefault="0043078A" w:rsidP="00905920">
      <w:pPr>
        <w:pStyle w:val="Subhead1"/>
        <w:ind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8846A6" w:rsidRPr="0067558E" w:rsidTr="005C0D9E">
        <w:tc>
          <w:tcPr>
            <w:tcW w:w="9821" w:type="dxa"/>
            <w:shd w:val="clear" w:color="auto" w:fill="FFC8A3"/>
          </w:tcPr>
          <w:p w:rsidR="0043078A" w:rsidRPr="001146A5" w:rsidRDefault="008846A6" w:rsidP="0043078A">
            <w:pPr>
              <w:pBdr>
                <w:top w:val="single" w:sz="4" w:space="1" w:color="1996B9"/>
                <w:left w:val="single" w:sz="4" w:space="4" w:color="1996B9"/>
                <w:bottom w:val="single" w:sz="4" w:space="1" w:color="1996B9"/>
                <w:right w:val="single" w:sz="4" w:space="4" w:color="1996B9"/>
              </w:pBdr>
              <w:ind w:left="426" w:hanging="568"/>
              <w:rPr>
                <w:rFonts w:ascii="Arial" w:hAnsi="Arial" w:cs="Arial"/>
                <w:sz w:val="16"/>
                <w:szCs w:val="16"/>
              </w:rPr>
            </w:pPr>
            <w:r w:rsidRPr="005855BD">
              <w:rPr>
                <w:rFonts w:ascii="Arial" w:hAnsi="Arial" w:cs="Arial"/>
                <w:b/>
                <w:sz w:val="22"/>
                <w:szCs w:val="22"/>
              </w:rPr>
              <w:t>Q</w:t>
            </w:r>
            <w:r w:rsidR="006C19A1">
              <w:rPr>
                <w:rFonts w:ascii="Arial" w:hAnsi="Arial" w:cs="Arial"/>
                <w:b/>
                <w:sz w:val="22"/>
                <w:szCs w:val="22"/>
              </w:rPr>
              <w:t>7</w:t>
            </w:r>
            <w:r w:rsidRPr="005855BD">
              <w:rPr>
                <w:rFonts w:ascii="Arial" w:hAnsi="Arial" w:cs="Arial"/>
                <w:b/>
                <w:sz w:val="22"/>
                <w:szCs w:val="22"/>
              </w:rPr>
              <w:t>.</w:t>
            </w:r>
            <w:r w:rsidR="006C19A1" w:rsidRPr="00717C3D">
              <w:rPr>
                <w:rFonts w:ascii="Arial" w:hAnsi="Arial" w:cs="Arial"/>
                <w:sz w:val="22"/>
                <w:szCs w:val="22"/>
              </w:rPr>
              <w:t>Do you have any comments on the inclusion of consumer notices to licence condition 7.1.1?</w:t>
            </w:r>
          </w:p>
          <w:p w:rsidR="008846A6" w:rsidRPr="0043078A" w:rsidRDefault="008846A6" w:rsidP="00F45E5C">
            <w:pPr>
              <w:pBdr>
                <w:top w:val="single" w:sz="4" w:space="1" w:color="1996B9"/>
                <w:left w:val="single" w:sz="4" w:space="4" w:color="1996B9"/>
                <w:bottom w:val="single" w:sz="4" w:space="1" w:color="1996B9"/>
                <w:right w:val="single" w:sz="4" w:space="4" w:color="1996B9"/>
              </w:pBdr>
              <w:ind w:left="426" w:hanging="568"/>
              <w:rPr>
                <w:rFonts w:ascii="Arial" w:hAnsi="Arial" w:cs="Arial"/>
                <w:sz w:val="16"/>
                <w:szCs w:val="16"/>
              </w:rPr>
            </w:pPr>
          </w:p>
        </w:tc>
      </w:tr>
      <w:tr w:rsidR="008846A6" w:rsidRPr="00FE6A6C" w:rsidTr="005C0D9E">
        <w:tc>
          <w:tcPr>
            <w:tcW w:w="9821" w:type="dxa"/>
            <w:shd w:val="clear" w:color="auto" w:fill="auto"/>
          </w:tcPr>
          <w:p w:rsidR="00F726A3" w:rsidRPr="006D4E24" w:rsidRDefault="006D4E24" w:rsidP="00B7495F">
            <w:pPr>
              <w:rPr>
                <w:rFonts w:ascii="Calibri" w:hAnsi="Calibri" w:cs="Calibri"/>
                <w:sz w:val="22"/>
                <w:szCs w:val="22"/>
              </w:rPr>
            </w:pPr>
            <w:r w:rsidRPr="006D4E24">
              <w:rPr>
                <w:rFonts w:ascii="Calibri" w:hAnsi="Calibri" w:cs="Calibri"/>
                <w:sz w:val="22"/>
                <w:szCs w:val="22"/>
              </w:rPr>
              <w:t xml:space="preserve">We support the inclusion of consumer notices to licence condition 7.1.1 and welcome the explicit expectation, set out in the condition, that operators comply with the law and do not just assure themselves that they have done so. </w:t>
            </w:r>
          </w:p>
          <w:p w:rsidR="0043078A" w:rsidRPr="00FE6A6C" w:rsidRDefault="0043078A" w:rsidP="00B7495F">
            <w:pPr>
              <w:pStyle w:val="Basictext"/>
              <w:ind w:left="0" w:firstLine="0"/>
            </w:pPr>
          </w:p>
        </w:tc>
      </w:tr>
    </w:tbl>
    <w:p w:rsidR="00D66FDB" w:rsidRDefault="00D66FDB" w:rsidP="00905920">
      <w:pPr>
        <w:pStyle w:val="Subhead1"/>
        <w:ind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4A2A47" w:rsidRPr="0043078A" w:rsidTr="006D01B2">
        <w:tc>
          <w:tcPr>
            <w:tcW w:w="9821" w:type="dxa"/>
            <w:shd w:val="clear" w:color="auto" w:fill="FFC8A3"/>
          </w:tcPr>
          <w:p w:rsidR="004A2A47" w:rsidRPr="001146A5" w:rsidRDefault="004A2A47" w:rsidP="006D01B2">
            <w:pPr>
              <w:pBdr>
                <w:top w:val="single" w:sz="4" w:space="1" w:color="1996B9"/>
                <w:left w:val="single" w:sz="4" w:space="4" w:color="1996B9"/>
                <w:bottom w:val="single" w:sz="4" w:space="1" w:color="1996B9"/>
                <w:right w:val="single" w:sz="4" w:space="4" w:color="1996B9"/>
              </w:pBdr>
              <w:ind w:left="426" w:hanging="568"/>
              <w:rPr>
                <w:rFonts w:ascii="Arial" w:hAnsi="Arial" w:cs="Arial"/>
                <w:sz w:val="16"/>
                <w:szCs w:val="16"/>
              </w:rPr>
            </w:pPr>
            <w:r w:rsidRPr="005855BD">
              <w:rPr>
                <w:rFonts w:ascii="Arial" w:hAnsi="Arial" w:cs="Arial"/>
                <w:b/>
                <w:sz w:val="22"/>
                <w:szCs w:val="22"/>
              </w:rPr>
              <w:t>Q</w:t>
            </w:r>
            <w:r w:rsidR="002F3742">
              <w:rPr>
                <w:rFonts w:ascii="Arial" w:hAnsi="Arial" w:cs="Arial"/>
                <w:b/>
                <w:sz w:val="22"/>
                <w:szCs w:val="22"/>
              </w:rPr>
              <w:t>8</w:t>
            </w:r>
            <w:r w:rsidRPr="005855BD">
              <w:rPr>
                <w:rFonts w:ascii="Arial" w:hAnsi="Arial" w:cs="Arial"/>
                <w:b/>
                <w:sz w:val="22"/>
                <w:szCs w:val="22"/>
              </w:rPr>
              <w:t>.</w:t>
            </w:r>
            <w:r>
              <w:rPr>
                <w:rFonts w:ascii="Arial" w:hAnsi="Arial" w:cs="Arial"/>
                <w:sz w:val="22"/>
                <w:szCs w:val="22"/>
              </w:rPr>
              <w:tab/>
            </w:r>
            <w:r w:rsidR="002F3742" w:rsidRPr="00717C3D">
              <w:rPr>
                <w:rFonts w:ascii="Arial" w:hAnsi="Arial" w:cs="Arial"/>
                <w:sz w:val="22"/>
                <w:szCs w:val="22"/>
              </w:rPr>
              <w:t>What are your views on the proposal to include</w:t>
            </w:r>
            <w:r w:rsidR="002F3742">
              <w:rPr>
                <w:rFonts w:ascii="Arial" w:hAnsi="Arial" w:cs="Arial"/>
                <w:sz w:val="22"/>
                <w:szCs w:val="22"/>
              </w:rPr>
              <w:t xml:space="preserve"> a</w:t>
            </w:r>
            <w:r w:rsidR="002F3742" w:rsidRPr="00717C3D">
              <w:rPr>
                <w:rFonts w:ascii="Arial" w:hAnsi="Arial" w:cs="Arial"/>
                <w:sz w:val="22"/>
                <w:szCs w:val="22"/>
              </w:rPr>
              <w:t xml:space="preserve"> requirement to ensure compliance with the Consumer Protection from Unfair Trading Regulations 2008, at all stages of the consumer journey?</w:t>
            </w:r>
          </w:p>
          <w:p w:rsidR="004A2A47" w:rsidRPr="0043078A" w:rsidRDefault="004A2A47" w:rsidP="006D01B2">
            <w:pPr>
              <w:pBdr>
                <w:top w:val="single" w:sz="4" w:space="1" w:color="1996B9"/>
                <w:left w:val="single" w:sz="4" w:space="4" w:color="1996B9"/>
                <w:bottom w:val="single" w:sz="4" w:space="1" w:color="1996B9"/>
                <w:right w:val="single" w:sz="4" w:space="4" w:color="1996B9"/>
              </w:pBdr>
              <w:ind w:left="426" w:hanging="568"/>
              <w:rPr>
                <w:rFonts w:ascii="Arial" w:hAnsi="Arial" w:cs="Arial"/>
                <w:sz w:val="16"/>
                <w:szCs w:val="16"/>
              </w:rPr>
            </w:pPr>
          </w:p>
        </w:tc>
      </w:tr>
      <w:tr w:rsidR="004A2A47" w:rsidRPr="00FE6A6C" w:rsidTr="006D01B2">
        <w:tc>
          <w:tcPr>
            <w:tcW w:w="9821" w:type="dxa"/>
            <w:shd w:val="clear" w:color="auto" w:fill="auto"/>
          </w:tcPr>
          <w:p w:rsidR="004A2A47" w:rsidRDefault="006D4E24" w:rsidP="006D4E24">
            <w:pPr>
              <w:rPr>
                <w:rFonts w:cstheme="minorHAnsi"/>
                <w:color w:val="1F497D" w:themeColor="text2"/>
              </w:rPr>
            </w:pPr>
            <w:r w:rsidRPr="006D4E24">
              <w:rPr>
                <w:rFonts w:ascii="Calibri" w:hAnsi="Calibri" w:cs="Calibri"/>
                <w:sz w:val="22"/>
                <w:szCs w:val="22"/>
              </w:rPr>
              <w:t xml:space="preserve">We welcome the addition of compliance with the CPRs to this licence condition, given the breadth of </w:t>
            </w:r>
            <w:r w:rsidR="00D859B1">
              <w:rPr>
                <w:rFonts w:ascii="Calibri" w:hAnsi="Calibri" w:cs="Calibri"/>
                <w:sz w:val="22"/>
                <w:szCs w:val="22"/>
              </w:rPr>
              <w:t>their</w:t>
            </w:r>
            <w:r w:rsidRPr="006D4E24">
              <w:rPr>
                <w:rFonts w:ascii="Calibri" w:hAnsi="Calibri" w:cs="Calibri"/>
                <w:sz w:val="22"/>
                <w:szCs w:val="22"/>
              </w:rPr>
              <w:t xml:space="preserve"> scope in relation to all stages of the consumer’s journey.  We are concerned that young and vulnerable customers, including those with literacy, numeracy, substance misuse and/or mental health problems, can find it particularly difficult to make clear decisions about the products they purchase.  The further strengthening of requirements regarding fairness and transparency will help to protect these customers in particular.</w:t>
            </w:r>
            <w:r>
              <w:rPr>
                <w:rFonts w:cstheme="minorHAnsi"/>
                <w:color w:val="1F497D" w:themeColor="text2"/>
              </w:rPr>
              <w:t xml:space="preserve"> </w:t>
            </w:r>
          </w:p>
          <w:p w:rsidR="006D4E24" w:rsidRPr="006D4E24" w:rsidRDefault="006D4E24" w:rsidP="006D4E24">
            <w:pPr>
              <w:rPr>
                <w:rFonts w:cstheme="minorHAnsi"/>
                <w:color w:val="1F497D" w:themeColor="text2"/>
              </w:rPr>
            </w:pPr>
          </w:p>
        </w:tc>
      </w:tr>
    </w:tbl>
    <w:p w:rsidR="008B7F2F" w:rsidRDefault="008B7F2F" w:rsidP="008B7F2F">
      <w:pPr>
        <w:pStyle w:val="Basict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67558E" w:rsidRPr="0029629A" w:rsidTr="0067558E">
        <w:tc>
          <w:tcPr>
            <w:tcW w:w="9821" w:type="dxa"/>
            <w:shd w:val="clear" w:color="auto" w:fill="FFC8A3"/>
          </w:tcPr>
          <w:p w:rsidR="0067558E" w:rsidRPr="0067558E" w:rsidRDefault="002F3742" w:rsidP="00D60BDB">
            <w:pPr>
              <w:pBdr>
                <w:top w:val="single" w:sz="4" w:space="1" w:color="1996B9"/>
                <w:left w:val="single" w:sz="4" w:space="4" w:color="1996B9"/>
                <w:bottom w:val="single" w:sz="4" w:space="1" w:color="1996B9"/>
                <w:right w:val="single" w:sz="4" w:space="4" w:color="1996B9"/>
              </w:pBdr>
              <w:ind w:left="426" w:hanging="568"/>
              <w:rPr>
                <w:rFonts w:ascii="Arial" w:hAnsi="Arial" w:cs="Arial"/>
                <w:sz w:val="22"/>
                <w:szCs w:val="22"/>
              </w:rPr>
            </w:pPr>
            <w:r>
              <w:rPr>
                <w:rFonts w:ascii="Arial" w:hAnsi="Arial" w:cs="Arial"/>
                <w:b/>
                <w:sz w:val="22"/>
                <w:szCs w:val="22"/>
              </w:rPr>
              <w:t>Q9</w:t>
            </w:r>
            <w:r w:rsidR="00122DF6" w:rsidRPr="00122DF6">
              <w:rPr>
                <w:rFonts w:ascii="Arial" w:hAnsi="Arial" w:cs="Arial"/>
                <w:b/>
                <w:sz w:val="22"/>
                <w:szCs w:val="22"/>
              </w:rPr>
              <w:t>.</w:t>
            </w:r>
            <w:r w:rsidRPr="00717C3D">
              <w:rPr>
                <w:rFonts w:ascii="Arial" w:hAnsi="Arial" w:cs="Arial"/>
                <w:sz w:val="22"/>
                <w:szCs w:val="22"/>
              </w:rPr>
              <w:t>What more could be done to ensure licensees’ terms and practices are not unfair and do not mislead? Please give examples.</w:t>
            </w:r>
          </w:p>
        </w:tc>
      </w:tr>
      <w:tr w:rsidR="0067558E" w:rsidRPr="00FE6A6C" w:rsidTr="0067558E">
        <w:tc>
          <w:tcPr>
            <w:tcW w:w="9821" w:type="dxa"/>
            <w:shd w:val="clear" w:color="auto" w:fill="auto"/>
          </w:tcPr>
          <w:p w:rsidR="00326C74" w:rsidRDefault="006D4E24" w:rsidP="006D4E24">
            <w:pPr>
              <w:rPr>
                <w:rFonts w:ascii="Calibri" w:hAnsi="Calibri" w:cs="Calibri"/>
                <w:sz w:val="22"/>
                <w:szCs w:val="22"/>
              </w:rPr>
            </w:pPr>
            <w:r w:rsidRPr="006D4E24">
              <w:rPr>
                <w:rFonts w:ascii="Calibri" w:hAnsi="Calibri" w:cs="Calibri"/>
                <w:sz w:val="22"/>
                <w:szCs w:val="22"/>
              </w:rPr>
              <w:t>Given the Commission’s stated concern that ‘</w:t>
            </w:r>
            <w:r w:rsidRPr="00D859B1">
              <w:rPr>
                <w:rFonts w:ascii="Calibri" w:hAnsi="Calibri" w:cs="Calibri"/>
                <w:i/>
                <w:sz w:val="22"/>
                <w:szCs w:val="22"/>
              </w:rPr>
              <w:t>unfair terms and practices are an industry-wide issue’</w:t>
            </w:r>
            <w:r w:rsidRPr="006D4E24">
              <w:rPr>
                <w:rFonts w:ascii="Calibri" w:hAnsi="Calibri" w:cs="Calibri"/>
                <w:sz w:val="22"/>
                <w:szCs w:val="22"/>
              </w:rPr>
              <w:t xml:space="preserve">, we </w:t>
            </w:r>
            <w:r w:rsidR="00525134">
              <w:rPr>
                <w:rFonts w:ascii="Calibri" w:hAnsi="Calibri" w:cs="Calibri"/>
                <w:sz w:val="22"/>
                <w:szCs w:val="22"/>
              </w:rPr>
              <w:t xml:space="preserve">would like to </w:t>
            </w:r>
            <w:r w:rsidRPr="006D4E24">
              <w:rPr>
                <w:rFonts w:ascii="Calibri" w:hAnsi="Calibri" w:cs="Calibri"/>
                <w:sz w:val="22"/>
                <w:szCs w:val="22"/>
              </w:rPr>
              <w:t>suggest that an independent evaluation of operators’ terms and practices</w:t>
            </w:r>
            <w:r w:rsidR="00525134" w:rsidRPr="006D4E24">
              <w:rPr>
                <w:rFonts w:ascii="Calibri" w:hAnsi="Calibri" w:cs="Calibri"/>
                <w:sz w:val="22"/>
                <w:szCs w:val="22"/>
              </w:rPr>
              <w:t xml:space="preserve"> is undertaken to assess the impact of changes to this licence con</w:t>
            </w:r>
            <w:r w:rsidR="00525134">
              <w:rPr>
                <w:rFonts w:ascii="Calibri" w:hAnsi="Calibri" w:cs="Calibri"/>
                <w:sz w:val="22"/>
                <w:szCs w:val="22"/>
              </w:rPr>
              <w:t>dition following implementation</w:t>
            </w:r>
            <w:r w:rsidRPr="006D4E24">
              <w:rPr>
                <w:rFonts w:ascii="Calibri" w:hAnsi="Calibri" w:cs="Calibri"/>
                <w:sz w:val="22"/>
                <w:szCs w:val="22"/>
              </w:rPr>
              <w:t>, including a qualitative study involving c</w:t>
            </w:r>
            <w:r w:rsidR="00525134">
              <w:rPr>
                <w:rFonts w:ascii="Calibri" w:hAnsi="Calibri" w:cs="Calibri"/>
                <w:sz w:val="22"/>
                <w:szCs w:val="22"/>
              </w:rPr>
              <w:t>ustomers and treatment seekers.</w:t>
            </w:r>
          </w:p>
          <w:p w:rsidR="006D4E24" w:rsidRPr="006D4E24" w:rsidRDefault="006D4E24" w:rsidP="006D4E24">
            <w:pPr>
              <w:rPr>
                <w:rFonts w:cstheme="minorHAnsi"/>
                <w:color w:val="1F497D" w:themeColor="text2"/>
              </w:rPr>
            </w:pPr>
          </w:p>
        </w:tc>
      </w:tr>
    </w:tbl>
    <w:p w:rsidR="00122DF6" w:rsidRDefault="00122DF6" w:rsidP="00E57FDC">
      <w:pPr>
        <w:pStyle w:val="Default"/>
        <w:rPr>
          <w:sz w:val="22"/>
          <w:szCs w:val="22"/>
        </w:rPr>
      </w:pPr>
    </w:p>
    <w:p w:rsidR="002F3742" w:rsidRPr="005855BD" w:rsidRDefault="002F3742" w:rsidP="002F3742">
      <w:pPr>
        <w:ind w:hanging="142"/>
        <w:rPr>
          <w:rFonts w:ascii="Arial" w:hAnsi="Arial" w:cs="Arial"/>
          <w:b/>
          <w:color w:val="FF6600"/>
          <w:szCs w:val="24"/>
        </w:rPr>
      </w:pPr>
      <w:r w:rsidRPr="005855BD">
        <w:rPr>
          <w:rFonts w:ascii="Arial" w:hAnsi="Arial" w:cs="Arial"/>
          <w:b/>
          <w:color w:val="FF6600"/>
          <w:szCs w:val="24"/>
        </w:rPr>
        <w:t xml:space="preserve">Section </w:t>
      </w:r>
      <w:r>
        <w:rPr>
          <w:rFonts w:ascii="Arial" w:hAnsi="Arial" w:cs="Arial"/>
          <w:b/>
          <w:color w:val="FF6600"/>
          <w:szCs w:val="24"/>
        </w:rPr>
        <w:t>4.1 – 4.20</w:t>
      </w:r>
      <w:r w:rsidRPr="005855BD">
        <w:rPr>
          <w:rFonts w:ascii="Arial" w:hAnsi="Arial" w:cs="Arial"/>
          <w:b/>
          <w:color w:val="FF6600"/>
          <w:szCs w:val="24"/>
        </w:rPr>
        <w:t xml:space="preserve"> of the consultation:</w:t>
      </w:r>
    </w:p>
    <w:p w:rsidR="002F3742" w:rsidRDefault="002F3742" w:rsidP="002F3742">
      <w:pPr>
        <w:pStyle w:val="Subhead1"/>
      </w:pPr>
    </w:p>
    <w:p w:rsidR="002F3742" w:rsidRDefault="002F3742" w:rsidP="002F3742">
      <w:pPr>
        <w:pStyle w:val="Subhead1"/>
        <w:ind w:hanging="862"/>
      </w:pPr>
      <w:r>
        <w:t>Complaints and disputes</w:t>
      </w:r>
    </w:p>
    <w:p w:rsidR="002F3742" w:rsidRDefault="002F3742" w:rsidP="00E57FDC">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1B386C" w:rsidRPr="0067558E" w:rsidTr="00E46B65">
        <w:tc>
          <w:tcPr>
            <w:tcW w:w="9821" w:type="dxa"/>
            <w:shd w:val="clear" w:color="auto" w:fill="FFC8A3"/>
          </w:tcPr>
          <w:p w:rsidR="001B386C" w:rsidRPr="0067558E" w:rsidRDefault="002F3742" w:rsidP="00E46B65">
            <w:pPr>
              <w:pBdr>
                <w:top w:val="single" w:sz="4" w:space="1" w:color="1996B9"/>
                <w:left w:val="single" w:sz="4" w:space="4" w:color="1996B9"/>
                <w:bottom w:val="single" w:sz="4" w:space="1" w:color="1996B9"/>
                <w:right w:val="single" w:sz="4" w:space="4" w:color="1996B9"/>
              </w:pBdr>
              <w:ind w:left="426" w:hanging="568"/>
              <w:rPr>
                <w:rFonts w:ascii="Arial" w:hAnsi="Arial" w:cs="Arial"/>
                <w:sz w:val="22"/>
                <w:szCs w:val="22"/>
              </w:rPr>
            </w:pPr>
            <w:r>
              <w:rPr>
                <w:rFonts w:ascii="Arial" w:hAnsi="Arial" w:cs="Arial"/>
                <w:b/>
                <w:sz w:val="22"/>
                <w:szCs w:val="22"/>
              </w:rPr>
              <w:t xml:space="preserve">  Q10</w:t>
            </w:r>
            <w:r w:rsidR="001B386C" w:rsidRPr="00122DF6">
              <w:rPr>
                <w:rFonts w:ascii="Arial" w:hAnsi="Arial" w:cs="Arial"/>
                <w:b/>
                <w:sz w:val="22"/>
                <w:szCs w:val="22"/>
              </w:rPr>
              <w:t>.</w:t>
            </w:r>
            <w:r w:rsidRPr="003146A0">
              <w:rPr>
                <w:rFonts w:ascii="Arial" w:hAnsi="Arial" w:cs="Arial"/>
                <w:sz w:val="22"/>
                <w:szCs w:val="22"/>
              </w:rPr>
              <w:t xml:space="preserve">Do the changes to SR code provision 6.1.1 make it clear that our focus is on complaints </w:t>
            </w:r>
            <w:r>
              <w:rPr>
                <w:rFonts w:ascii="Arial" w:hAnsi="Arial" w:cs="Arial"/>
                <w:sz w:val="22"/>
                <w:szCs w:val="22"/>
              </w:rPr>
              <w:t>and disputes being</w:t>
            </w:r>
            <w:r w:rsidRPr="003146A0">
              <w:rPr>
                <w:rFonts w:ascii="Arial" w:hAnsi="Arial" w:cs="Arial"/>
                <w:sz w:val="22"/>
                <w:szCs w:val="22"/>
              </w:rPr>
              <w:t xml:space="preserve"> handled in a fair, open, transparent, accessible and timely manner, in line with the licensing objectives? If not, how could we improve this?</w:t>
            </w:r>
          </w:p>
        </w:tc>
      </w:tr>
      <w:tr w:rsidR="001B386C" w:rsidRPr="00FE6A6C" w:rsidTr="00E46B65">
        <w:tc>
          <w:tcPr>
            <w:tcW w:w="9821" w:type="dxa"/>
            <w:shd w:val="clear" w:color="auto" w:fill="auto"/>
          </w:tcPr>
          <w:p w:rsidR="001B386C" w:rsidRDefault="00ED70D6" w:rsidP="00B7495F">
            <w:pPr>
              <w:pStyle w:val="Basictext"/>
              <w:ind w:left="0" w:firstLine="0"/>
              <w:rPr>
                <w:rFonts w:ascii="Calibri" w:hAnsi="Calibri" w:cs="Calibri"/>
              </w:rPr>
            </w:pPr>
            <w:r w:rsidRPr="00ED70D6">
              <w:rPr>
                <w:rFonts w:ascii="Calibri" w:hAnsi="Calibri" w:cs="Calibri"/>
              </w:rPr>
              <w:t xml:space="preserve">We agree that the proposed changes to SR code provision 6.1.1 provides greater clarity of the GC’s focus. </w:t>
            </w:r>
          </w:p>
          <w:p w:rsidR="00ED70D6" w:rsidRPr="00ED70D6" w:rsidRDefault="00ED70D6" w:rsidP="00B7495F">
            <w:pPr>
              <w:pStyle w:val="Basictext"/>
              <w:ind w:left="0" w:firstLine="0"/>
              <w:rPr>
                <w:rFonts w:ascii="Calibri" w:hAnsi="Calibri" w:cs="Calibri"/>
              </w:rPr>
            </w:pPr>
          </w:p>
        </w:tc>
      </w:tr>
    </w:tbl>
    <w:p w:rsidR="001B386C" w:rsidRDefault="001B386C" w:rsidP="001B386C">
      <w:pPr>
        <w:pStyle w:val="Basict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1B386C" w:rsidRPr="0029629A" w:rsidTr="00E46B65">
        <w:tc>
          <w:tcPr>
            <w:tcW w:w="9821" w:type="dxa"/>
            <w:shd w:val="clear" w:color="auto" w:fill="FFC8A3"/>
          </w:tcPr>
          <w:p w:rsidR="001B386C" w:rsidRPr="0067558E" w:rsidRDefault="001B386C" w:rsidP="002F3742">
            <w:pPr>
              <w:pBdr>
                <w:top w:val="single" w:sz="4" w:space="1" w:color="1996B9"/>
                <w:left w:val="single" w:sz="4" w:space="4" w:color="1996B9"/>
                <w:bottom w:val="single" w:sz="4" w:space="1" w:color="1996B9"/>
                <w:right w:val="single" w:sz="4" w:space="4" w:color="1996B9"/>
              </w:pBdr>
              <w:ind w:left="426" w:hanging="568"/>
              <w:rPr>
                <w:rFonts w:ascii="Arial" w:hAnsi="Arial" w:cs="Arial"/>
                <w:sz w:val="22"/>
                <w:szCs w:val="22"/>
              </w:rPr>
            </w:pPr>
            <w:r>
              <w:rPr>
                <w:rFonts w:ascii="Arial" w:hAnsi="Arial" w:cs="Arial"/>
                <w:b/>
                <w:sz w:val="22"/>
                <w:szCs w:val="22"/>
              </w:rPr>
              <w:t xml:space="preserve">  Q1</w:t>
            </w:r>
            <w:r w:rsidR="002F3742">
              <w:rPr>
                <w:rFonts w:ascii="Arial" w:hAnsi="Arial" w:cs="Arial"/>
                <w:b/>
                <w:sz w:val="22"/>
                <w:szCs w:val="22"/>
              </w:rPr>
              <w:t>1</w:t>
            </w:r>
            <w:r w:rsidRPr="00122DF6">
              <w:rPr>
                <w:rFonts w:ascii="Arial" w:hAnsi="Arial" w:cs="Arial"/>
                <w:b/>
                <w:sz w:val="22"/>
                <w:szCs w:val="22"/>
              </w:rPr>
              <w:t>.</w:t>
            </w:r>
            <w:r w:rsidR="002F3742" w:rsidRPr="003146A0">
              <w:rPr>
                <w:rFonts w:ascii="Arial" w:hAnsi="Arial" w:cs="Arial"/>
                <w:sz w:val="22"/>
                <w:szCs w:val="22"/>
              </w:rPr>
              <w:t>Do the changes to SR code provision 6.1.1 make the general requirements for reporting information to the Commission easier to understand and follow? If not, what would improve this?</w:t>
            </w:r>
          </w:p>
        </w:tc>
      </w:tr>
      <w:tr w:rsidR="001B386C" w:rsidRPr="00FE6A6C" w:rsidTr="00E46B65">
        <w:tc>
          <w:tcPr>
            <w:tcW w:w="9821" w:type="dxa"/>
            <w:shd w:val="clear" w:color="auto" w:fill="auto"/>
          </w:tcPr>
          <w:p w:rsidR="001B386C" w:rsidRPr="00ED70D6" w:rsidRDefault="00ED70D6" w:rsidP="00B7495F">
            <w:pPr>
              <w:pStyle w:val="Basictext"/>
              <w:ind w:left="0" w:firstLine="0"/>
              <w:rPr>
                <w:rFonts w:ascii="Calibri" w:hAnsi="Calibri" w:cs="Calibri"/>
              </w:rPr>
            </w:pPr>
            <w:r w:rsidRPr="00ED70D6">
              <w:rPr>
                <w:rFonts w:ascii="Calibri" w:hAnsi="Calibri" w:cs="Calibri"/>
              </w:rPr>
              <w:t>We agree that the proposed changes to SR code provision 6.1.1 make the general requirements for reporting information to the Commission clear</w:t>
            </w:r>
            <w:r>
              <w:rPr>
                <w:rFonts w:ascii="Calibri" w:hAnsi="Calibri" w:cs="Calibri"/>
              </w:rPr>
              <w:t>er</w:t>
            </w:r>
            <w:r w:rsidRPr="00ED70D6">
              <w:rPr>
                <w:rFonts w:ascii="Calibri" w:hAnsi="Calibri" w:cs="Calibri"/>
              </w:rPr>
              <w:t xml:space="preserve"> and</w:t>
            </w:r>
            <w:r>
              <w:rPr>
                <w:rFonts w:ascii="Calibri" w:hAnsi="Calibri" w:cs="Calibri"/>
              </w:rPr>
              <w:t>,</w:t>
            </w:r>
            <w:r w:rsidRPr="00ED70D6">
              <w:rPr>
                <w:rFonts w:ascii="Calibri" w:hAnsi="Calibri" w:cs="Calibri"/>
              </w:rPr>
              <w:t xml:space="preserve"> therefore</w:t>
            </w:r>
            <w:r>
              <w:rPr>
                <w:rFonts w:ascii="Calibri" w:hAnsi="Calibri" w:cs="Calibri"/>
              </w:rPr>
              <w:t>,</w:t>
            </w:r>
            <w:r w:rsidRPr="00ED70D6">
              <w:rPr>
                <w:rFonts w:ascii="Calibri" w:hAnsi="Calibri" w:cs="Calibri"/>
              </w:rPr>
              <w:t xml:space="preserve"> should make them easier to understand and follow.</w:t>
            </w:r>
          </w:p>
          <w:p w:rsidR="001B386C" w:rsidRPr="00FE6A6C" w:rsidRDefault="001B386C" w:rsidP="00B7495F">
            <w:pPr>
              <w:pStyle w:val="Basictext"/>
              <w:ind w:left="0" w:firstLine="0"/>
            </w:pPr>
          </w:p>
        </w:tc>
      </w:tr>
    </w:tbl>
    <w:p w:rsidR="0087129A" w:rsidRDefault="0087129A" w:rsidP="001B386C">
      <w:pPr>
        <w:pStyle w:val="Default"/>
        <w:rPr>
          <w:sz w:val="22"/>
          <w:szCs w:val="22"/>
        </w:rPr>
      </w:pPr>
    </w:p>
    <w:p w:rsidR="0087129A" w:rsidRDefault="0087129A">
      <w:pPr>
        <w:rPr>
          <w:rFonts w:ascii="Arial" w:hAnsi="Arial" w:cs="Arial"/>
          <w:color w:val="000000"/>
          <w:sz w:val="22"/>
          <w:szCs w:val="22"/>
          <w:lang w:eastAsia="en-GB"/>
        </w:rPr>
      </w:pPr>
      <w:r>
        <w:rPr>
          <w:sz w:val="22"/>
          <w:szCs w:val="22"/>
        </w:rPr>
        <w:br w:type="page"/>
      </w:r>
    </w:p>
    <w:p w:rsidR="001B386C" w:rsidRDefault="001B386C" w:rsidP="001B386C">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1B386C" w:rsidRPr="0067558E" w:rsidTr="00E46B65">
        <w:tc>
          <w:tcPr>
            <w:tcW w:w="9821" w:type="dxa"/>
            <w:shd w:val="clear" w:color="auto" w:fill="FFC8A3"/>
          </w:tcPr>
          <w:p w:rsidR="001B386C" w:rsidRPr="0067558E" w:rsidRDefault="002F3742" w:rsidP="00E46B65">
            <w:pPr>
              <w:pBdr>
                <w:top w:val="single" w:sz="4" w:space="1" w:color="1996B9"/>
                <w:left w:val="single" w:sz="4" w:space="4" w:color="1996B9"/>
                <w:bottom w:val="single" w:sz="4" w:space="1" w:color="1996B9"/>
                <w:right w:val="single" w:sz="4" w:space="4" w:color="1996B9"/>
              </w:pBdr>
              <w:ind w:left="426" w:hanging="568"/>
              <w:rPr>
                <w:rFonts w:ascii="Arial" w:hAnsi="Arial" w:cs="Arial"/>
                <w:sz w:val="22"/>
                <w:szCs w:val="22"/>
              </w:rPr>
            </w:pPr>
            <w:r>
              <w:rPr>
                <w:rFonts w:ascii="Arial" w:hAnsi="Arial" w:cs="Arial"/>
                <w:b/>
                <w:sz w:val="22"/>
                <w:szCs w:val="22"/>
              </w:rPr>
              <w:t xml:space="preserve">  Q12</w:t>
            </w:r>
            <w:r w:rsidR="001B386C" w:rsidRPr="00122DF6">
              <w:rPr>
                <w:rFonts w:ascii="Arial" w:hAnsi="Arial" w:cs="Arial"/>
                <w:b/>
                <w:sz w:val="22"/>
                <w:szCs w:val="22"/>
              </w:rPr>
              <w:t>.</w:t>
            </w:r>
            <w:r w:rsidRPr="003146A0">
              <w:rPr>
                <w:rFonts w:ascii="Arial" w:hAnsi="Arial" w:cs="Arial"/>
                <w:sz w:val="22"/>
                <w:szCs w:val="22"/>
              </w:rPr>
              <w:t>Please provide any feedback on the new requirement to have regard to the Commission’s advice/guidance when designing complaints policies and procedures. Can you see any problems with this approach?</w:t>
            </w:r>
          </w:p>
        </w:tc>
      </w:tr>
      <w:tr w:rsidR="001B386C" w:rsidRPr="00FE6A6C" w:rsidTr="00E46B65">
        <w:tc>
          <w:tcPr>
            <w:tcW w:w="9821" w:type="dxa"/>
            <w:shd w:val="clear" w:color="auto" w:fill="auto"/>
          </w:tcPr>
          <w:p w:rsidR="00ED70D6" w:rsidRDefault="00ED70D6" w:rsidP="00B7495F">
            <w:pPr>
              <w:pStyle w:val="Basictext"/>
              <w:ind w:left="0" w:firstLine="0"/>
              <w:rPr>
                <w:rFonts w:ascii="Calibri" w:hAnsi="Calibri" w:cs="Calibri"/>
              </w:rPr>
            </w:pPr>
            <w:r w:rsidRPr="00ED70D6">
              <w:rPr>
                <w:rFonts w:ascii="Calibri" w:hAnsi="Calibri" w:cs="Calibri"/>
              </w:rPr>
              <w:t>The advice/</w:t>
            </w:r>
            <w:r>
              <w:rPr>
                <w:rFonts w:ascii="Calibri" w:hAnsi="Calibri" w:cs="Calibri"/>
              </w:rPr>
              <w:t>guidance provides clear</w:t>
            </w:r>
            <w:r w:rsidR="008A02D5">
              <w:rPr>
                <w:rFonts w:ascii="Calibri" w:hAnsi="Calibri" w:cs="Calibri"/>
              </w:rPr>
              <w:t xml:space="preserve"> and detailed</w:t>
            </w:r>
            <w:r>
              <w:rPr>
                <w:rFonts w:ascii="Calibri" w:hAnsi="Calibri" w:cs="Calibri"/>
              </w:rPr>
              <w:t xml:space="preserve"> </w:t>
            </w:r>
            <w:r w:rsidRPr="00ED70D6">
              <w:rPr>
                <w:rFonts w:ascii="Calibri" w:hAnsi="Calibri" w:cs="Calibri"/>
              </w:rPr>
              <w:t>information</w:t>
            </w:r>
            <w:r w:rsidR="00782282">
              <w:rPr>
                <w:rFonts w:ascii="Calibri" w:hAnsi="Calibri" w:cs="Calibri"/>
              </w:rPr>
              <w:t xml:space="preserve"> which should</w:t>
            </w:r>
            <w:r w:rsidRPr="00ED70D6">
              <w:rPr>
                <w:rFonts w:ascii="Calibri" w:hAnsi="Calibri" w:cs="Calibri"/>
              </w:rPr>
              <w:t xml:space="preserve"> support the industry’s development of its complaints policies and procedures, with the flexibility to design these according to each business’ needs</w:t>
            </w:r>
            <w:r>
              <w:rPr>
                <w:rFonts w:ascii="Calibri" w:hAnsi="Calibri" w:cs="Calibri"/>
              </w:rPr>
              <w:t xml:space="preserve"> and context</w:t>
            </w:r>
            <w:r w:rsidRPr="00ED70D6">
              <w:rPr>
                <w:rFonts w:ascii="Calibri" w:hAnsi="Calibri" w:cs="Calibri"/>
              </w:rPr>
              <w:t xml:space="preserve">.  </w:t>
            </w:r>
          </w:p>
          <w:p w:rsidR="00E269F2" w:rsidRDefault="00E269F2" w:rsidP="00B7495F">
            <w:pPr>
              <w:pStyle w:val="Basictext"/>
              <w:ind w:left="0" w:firstLine="0"/>
              <w:rPr>
                <w:rFonts w:ascii="Calibri" w:hAnsi="Calibri" w:cs="Calibri"/>
              </w:rPr>
            </w:pPr>
          </w:p>
          <w:p w:rsidR="001B386C" w:rsidRDefault="00ED70D6" w:rsidP="00B7495F">
            <w:pPr>
              <w:pStyle w:val="Basictext"/>
              <w:ind w:left="0" w:firstLine="0"/>
              <w:rPr>
                <w:rFonts w:ascii="Calibri" w:hAnsi="Calibri" w:cs="Calibri"/>
              </w:rPr>
            </w:pPr>
            <w:r w:rsidRPr="00ED70D6">
              <w:rPr>
                <w:rFonts w:ascii="Calibri" w:hAnsi="Calibri" w:cs="Calibri"/>
              </w:rPr>
              <w:t>A</w:t>
            </w:r>
            <w:r>
              <w:rPr>
                <w:rFonts w:ascii="Calibri" w:hAnsi="Calibri" w:cs="Calibri"/>
              </w:rPr>
              <w:t>s stand-</w:t>
            </w:r>
            <w:r w:rsidRPr="00ED70D6">
              <w:rPr>
                <w:rFonts w:ascii="Calibri" w:hAnsi="Calibri" w:cs="Calibri"/>
              </w:rPr>
              <w:t xml:space="preserve">alone guidance, we hope that it will be </w:t>
            </w:r>
            <w:r w:rsidR="00D2307A">
              <w:rPr>
                <w:rFonts w:ascii="Calibri" w:hAnsi="Calibri" w:cs="Calibri"/>
              </w:rPr>
              <w:t>the basis for</w:t>
            </w:r>
            <w:r w:rsidRPr="00ED70D6">
              <w:rPr>
                <w:rFonts w:ascii="Calibri" w:hAnsi="Calibri" w:cs="Calibri"/>
              </w:rPr>
              <w:t xml:space="preserve"> staff training</w:t>
            </w:r>
            <w:r w:rsidR="00782282">
              <w:rPr>
                <w:rFonts w:ascii="Calibri" w:hAnsi="Calibri" w:cs="Calibri"/>
              </w:rPr>
              <w:t xml:space="preserve"> and staff induction across the industry</w:t>
            </w:r>
            <w:r w:rsidRPr="00ED70D6">
              <w:rPr>
                <w:rFonts w:ascii="Calibri" w:hAnsi="Calibri" w:cs="Calibri"/>
              </w:rPr>
              <w:t xml:space="preserve">, to ensure that all staff </w:t>
            </w:r>
            <w:proofErr w:type="gramStart"/>
            <w:r>
              <w:rPr>
                <w:rFonts w:ascii="Calibri" w:hAnsi="Calibri" w:cs="Calibri"/>
              </w:rPr>
              <w:t>know</w:t>
            </w:r>
            <w:proofErr w:type="gramEnd"/>
            <w:r>
              <w:rPr>
                <w:rFonts w:ascii="Calibri" w:hAnsi="Calibri" w:cs="Calibri"/>
              </w:rPr>
              <w:t xml:space="preserve"> what is </w:t>
            </w:r>
            <w:r w:rsidR="00D2307A">
              <w:rPr>
                <w:rFonts w:ascii="Calibri" w:hAnsi="Calibri" w:cs="Calibri"/>
              </w:rPr>
              <w:t>required</w:t>
            </w:r>
            <w:r>
              <w:rPr>
                <w:rFonts w:ascii="Calibri" w:hAnsi="Calibri" w:cs="Calibri"/>
              </w:rPr>
              <w:t xml:space="preserve">, what their </w:t>
            </w:r>
            <w:r w:rsidR="00782282">
              <w:rPr>
                <w:rFonts w:ascii="Calibri" w:hAnsi="Calibri" w:cs="Calibri"/>
              </w:rPr>
              <w:t xml:space="preserve">respective </w:t>
            </w:r>
            <w:r>
              <w:rPr>
                <w:rFonts w:ascii="Calibri" w:hAnsi="Calibri" w:cs="Calibri"/>
              </w:rPr>
              <w:t>responsibilities are within the process,</w:t>
            </w:r>
            <w:r w:rsidRPr="00ED70D6">
              <w:rPr>
                <w:rFonts w:ascii="Calibri" w:hAnsi="Calibri" w:cs="Calibri"/>
              </w:rPr>
              <w:t xml:space="preserve"> and feel confident to carry this out.</w:t>
            </w:r>
            <w:r>
              <w:rPr>
                <w:rFonts w:ascii="Calibri" w:hAnsi="Calibri" w:cs="Calibri"/>
              </w:rPr>
              <w:t xml:space="preserve"> </w:t>
            </w:r>
          </w:p>
          <w:p w:rsidR="004E3F73" w:rsidRDefault="004E3F73" w:rsidP="00B7495F">
            <w:pPr>
              <w:pStyle w:val="Basictext"/>
              <w:ind w:left="0" w:firstLine="0"/>
              <w:rPr>
                <w:rFonts w:ascii="Calibri" w:hAnsi="Calibri" w:cs="Calibri"/>
              </w:rPr>
            </w:pPr>
          </w:p>
          <w:p w:rsidR="00782282" w:rsidRDefault="00782282" w:rsidP="00B7495F">
            <w:pPr>
              <w:pStyle w:val="Basictext"/>
              <w:ind w:left="0" w:firstLine="0"/>
              <w:rPr>
                <w:rFonts w:ascii="Calibri" w:hAnsi="Calibri" w:cs="Calibri"/>
              </w:rPr>
            </w:pPr>
            <w:r>
              <w:rPr>
                <w:rFonts w:ascii="Calibri" w:hAnsi="Calibri" w:cs="Calibri"/>
              </w:rPr>
              <w:t xml:space="preserve">We also hope that the </w:t>
            </w:r>
            <w:r w:rsidR="008A02D5">
              <w:rPr>
                <w:rFonts w:ascii="Calibri" w:hAnsi="Calibri" w:cs="Calibri"/>
              </w:rPr>
              <w:t>Commission</w:t>
            </w:r>
            <w:r>
              <w:rPr>
                <w:rFonts w:ascii="Calibri" w:hAnsi="Calibri" w:cs="Calibri"/>
              </w:rPr>
              <w:t xml:space="preserve"> will consider undertaking </w:t>
            </w:r>
            <w:r w:rsidR="006C1828">
              <w:rPr>
                <w:rFonts w:ascii="Calibri" w:hAnsi="Calibri" w:cs="Calibri"/>
              </w:rPr>
              <w:t xml:space="preserve">a </w:t>
            </w:r>
            <w:r w:rsidR="008A02D5">
              <w:rPr>
                <w:rFonts w:ascii="Calibri" w:hAnsi="Calibri" w:cs="Calibri"/>
              </w:rPr>
              <w:t xml:space="preserve">follow up study </w:t>
            </w:r>
            <w:r w:rsidR="006C1828">
              <w:rPr>
                <w:rFonts w:ascii="Calibri" w:hAnsi="Calibri" w:cs="Calibri"/>
              </w:rPr>
              <w:t>of its 2017 review</w:t>
            </w:r>
            <w:r>
              <w:rPr>
                <w:rFonts w:ascii="Calibri" w:hAnsi="Calibri" w:cs="Calibri"/>
              </w:rPr>
              <w:t xml:space="preserve"> to assess the impact of the advice/guidance once it has been implemented.</w:t>
            </w:r>
          </w:p>
          <w:p w:rsidR="001B386C" w:rsidRPr="00FE6A6C" w:rsidRDefault="001B386C" w:rsidP="00B7495F">
            <w:pPr>
              <w:pStyle w:val="Basictext"/>
              <w:ind w:left="0" w:firstLine="0"/>
            </w:pPr>
          </w:p>
        </w:tc>
      </w:tr>
    </w:tbl>
    <w:p w:rsidR="001B386C" w:rsidRDefault="001B386C" w:rsidP="001B386C">
      <w:pPr>
        <w:pStyle w:val="Basict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1B386C" w:rsidRPr="0029629A" w:rsidTr="00E46B65">
        <w:tc>
          <w:tcPr>
            <w:tcW w:w="9821" w:type="dxa"/>
            <w:shd w:val="clear" w:color="auto" w:fill="FFC8A3"/>
          </w:tcPr>
          <w:p w:rsidR="001B386C" w:rsidRPr="0067558E" w:rsidRDefault="001B386C" w:rsidP="00E46B65">
            <w:pPr>
              <w:pBdr>
                <w:top w:val="single" w:sz="4" w:space="1" w:color="1996B9"/>
                <w:left w:val="single" w:sz="4" w:space="4" w:color="1996B9"/>
                <w:bottom w:val="single" w:sz="4" w:space="1" w:color="1996B9"/>
                <w:right w:val="single" w:sz="4" w:space="4" w:color="1996B9"/>
              </w:pBdr>
              <w:ind w:left="426" w:hanging="568"/>
              <w:rPr>
                <w:rFonts w:ascii="Arial" w:hAnsi="Arial" w:cs="Arial"/>
                <w:sz w:val="22"/>
                <w:szCs w:val="22"/>
              </w:rPr>
            </w:pPr>
            <w:r>
              <w:rPr>
                <w:rFonts w:ascii="Arial" w:hAnsi="Arial" w:cs="Arial"/>
                <w:b/>
                <w:sz w:val="22"/>
                <w:szCs w:val="22"/>
              </w:rPr>
              <w:t xml:space="preserve">  Q1</w:t>
            </w:r>
            <w:r w:rsidR="002F3742">
              <w:rPr>
                <w:rFonts w:ascii="Arial" w:hAnsi="Arial" w:cs="Arial"/>
                <w:b/>
                <w:sz w:val="22"/>
                <w:szCs w:val="22"/>
              </w:rPr>
              <w:t>3</w:t>
            </w:r>
            <w:r w:rsidRPr="00122DF6">
              <w:rPr>
                <w:rFonts w:ascii="Arial" w:hAnsi="Arial" w:cs="Arial"/>
                <w:b/>
                <w:sz w:val="22"/>
                <w:szCs w:val="22"/>
              </w:rPr>
              <w:t>.</w:t>
            </w:r>
            <w:r w:rsidR="002F3742" w:rsidRPr="003146A0">
              <w:rPr>
                <w:rFonts w:ascii="Arial" w:hAnsi="Arial" w:cs="Arial"/>
                <w:sz w:val="22"/>
                <w:szCs w:val="22"/>
              </w:rPr>
              <w:t>Please provide any feedback on the proposals to introduce time limits for complaints</w:t>
            </w:r>
            <w:r w:rsidR="002F3742">
              <w:rPr>
                <w:rFonts w:ascii="Arial" w:hAnsi="Arial" w:cs="Arial"/>
                <w:sz w:val="22"/>
                <w:szCs w:val="22"/>
              </w:rPr>
              <w:t xml:space="preserve"> and disputes</w:t>
            </w:r>
            <w:r w:rsidR="002F3742" w:rsidRPr="003146A0">
              <w:rPr>
                <w:rFonts w:ascii="Arial" w:hAnsi="Arial" w:cs="Arial"/>
                <w:sz w:val="22"/>
                <w:szCs w:val="22"/>
              </w:rPr>
              <w:t xml:space="preserve"> handling, and a requirement to provide a ‘deadlock letter’ as part of the </w:t>
            </w:r>
            <w:r w:rsidR="002F3742" w:rsidRPr="002614AC">
              <w:rPr>
                <w:rFonts w:ascii="Arial" w:hAnsi="Arial" w:cs="Arial"/>
                <w:sz w:val="22"/>
                <w:szCs w:val="22"/>
              </w:rPr>
              <w:t>advice</w:t>
            </w:r>
            <w:r w:rsidR="002F3742" w:rsidRPr="003146A0">
              <w:rPr>
                <w:rFonts w:ascii="Arial" w:hAnsi="Arial" w:cs="Arial"/>
                <w:sz w:val="22"/>
                <w:szCs w:val="22"/>
              </w:rPr>
              <w:t>. Do you agree with the proposed approach? If not, please explain why?</w:t>
            </w:r>
          </w:p>
        </w:tc>
      </w:tr>
      <w:tr w:rsidR="001B386C" w:rsidRPr="00FE6A6C" w:rsidTr="00E46B65">
        <w:tc>
          <w:tcPr>
            <w:tcW w:w="9821" w:type="dxa"/>
            <w:shd w:val="clear" w:color="auto" w:fill="auto"/>
          </w:tcPr>
          <w:p w:rsidR="00782282" w:rsidRDefault="00782282" w:rsidP="00B7495F">
            <w:pPr>
              <w:pStyle w:val="Basictext"/>
              <w:ind w:left="0" w:firstLine="0"/>
              <w:rPr>
                <w:rFonts w:ascii="Calibri" w:hAnsi="Calibri" w:cs="Calibri"/>
              </w:rPr>
            </w:pPr>
            <w:r>
              <w:rPr>
                <w:rFonts w:ascii="Calibri" w:hAnsi="Calibri" w:cs="Calibri"/>
              </w:rPr>
              <w:t>We think that the</w:t>
            </w:r>
            <w:r w:rsidR="00D2307A" w:rsidRPr="00D2307A">
              <w:rPr>
                <w:rFonts w:ascii="Calibri" w:hAnsi="Calibri" w:cs="Calibri"/>
              </w:rPr>
              <w:t xml:space="preserve"> introduction of time limits and suggested provision of ‘deadlock letters’ </w:t>
            </w:r>
            <w:r w:rsidR="00D2307A">
              <w:rPr>
                <w:rFonts w:ascii="Calibri" w:hAnsi="Calibri" w:cs="Calibri"/>
              </w:rPr>
              <w:t xml:space="preserve">will </w:t>
            </w:r>
            <w:r>
              <w:rPr>
                <w:rFonts w:ascii="Calibri" w:hAnsi="Calibri" w:cs="Calibri"/>
              </w:rPr>
              <w:t xml:space="preserve">help to </w:t>
            </w:r>
            <w:r w:rsidR="00D2307A">
              <w:rPr>
                <w:rFonts w:ascii="Calibri" w:hAnsi="Calibri" w:cs="Calibri"/>
              </w:rPr>
              <w:t xml:space="preserve">strengthen complaints and disputes handling processes by making them more robust and transparent. Unexplained delays and/or extended periods of waiting for complaints to be resolved are sources of additional stress and frustration for customers, particularly for those who are most vulnerable. </w:t>
            </w:r>
          </w:p>
          <w:p w:rsidR="008A02D5" w:rsidRDefault="008A02D5" w:rsidP="00B7495F">
            <w:pPr>
              <w:pStyle w:val="Basictext"/>
              <w:ind w:left="0" w:firstLine="0"/>
              <w:rPr>
                <w:rFonts w:ascii="Calibri" w:hAnsi="Calibri" w:cs="Calibri"/>
              </w:rPr>
            </w:pPr>
          </w:p>
          <w:p w:rsidR="001B386C" w:rsidRPr="00D2307A" w:rsidRDefault="008A02D5" w:rsidP="00B7495F">
            <w:pPr>
              <w:pStyle w:val="Basictext"/>
              <w:ind w:left="0" w:firstLine="0"/>
              <w:rPr>
                <w:rFonts w:ascii="Calibri" w:hAnsi="Calibri" w:cs="Calibri"/>
              </w:rPr>
            </w:pPr>
            <w:r>
              <w:rPr>
                <w:rFonts w:ascii="Calibri" w:hAnsi="Calibri" w:cs="Calibri"/>
              </w:rPr>
              <w:t xml:space="preserve">We think that it </w:t>
            </w:r>
            <w:r w:rsidR="00CB7F9D">
              <w:rPr>
                <w:rFonts w:ascii="Calibri" w:hAnsi="Calibri" w:cs="Calibri"/>
              </w:rPr>
              <w:t xml:space="preserve">is not unreasonable for the industry to work within similar timeframes to that of other </w:t>
            </w:r>
            <w:r w:rsidR="001778F9">
              <w:rPr>
                <w:rFonts w:ascii="Calibri" w:hAnsi="Calibri" w:cs="Calibri"/>
              </w:rPr>
              <w:t>regulated industries</w:t>
            </w:r>
            <w:r w:rsidR="00CB7F9D">
              <w:rPr>
                <w:rFonts w:ascii="Calibri" w:hAnsi="Calibri" w:cs="Calibri"/>
              </w:rPr>
              <w:t xml:space="preserve"> where such limits and approaches have been implemented.</w:t>
            </w:r>
            <w:r w:rsidR="00D2307A">
              <w:rPr>
                <w:rFonts w:ascii="Calibri" w:hAnsi="Calibri" w:cs="Calibri"/>
              </w:rPr>
              <w:t xml:space="preserve">  </w:t>
            </w:r>
          </w:p>
          <w:p w:rsidR="001B386C" w:rsidRPr="00FE6A6C" w:rsidRDefault="001B386C" w:rsidP="00B7495F">
            <w:pPr>
              <w:pStyle w:val="Basictext"/>
              <w:ind w:left="0" w:firstLine="0"/>
            </w:pPr>
          </w:p>
        </w:tc>
      </w:tr>
    </w:tbl>
    <w:p w:rsidR="001B386C" w:rsidRDefault="001B386C" w:rsidP="001B386C">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5"/>
      </w:tblGrid>
      <w:tr w:rsidR="00595D56" w:rsidRPr="0029629A" w:rsidTr="002F3742">
        <w:tc>
          <w:tcPr>
            <w:tcW w:w="9595" w:type="dxa"/>
            <w:shd w:val="clear" w:color="auto" w:fill="FFC8A3"/>
          </w:tcPr>
          <w:p w:rsidR="00595D56" w:rsidRPr="0067558E" w:rsidRDefault="001246A4" w:rsidP="002F3742">
            <w:pPr>
              <w:pBdr>
                <w:top w:val="single" w:sz="4" w:space="1" w:color="1996B9"/>
                <w:left w:val="single" w:sz="4" w:space="4" w:color="1996B9"/>
                <w:bottom w:val="single" w:sz="4" w:space="1" w:color="1996B9"/>
                <w:right w:val="single" w:sz="4" w:space="4" w:color="1996B9"/>
              </w:pBdr>
              <w:ind w:left="426" w:hanging="568"/>
              <w:rPr>
                <w:rFonts w:ascii="Arial" w:hAnsi="Arial" w:cs="Arial"/>
                <w:sz w:val="22"/>
                <w:szCs w:val="22"/>
              </w:rPr>
            </w:pPr>
            <w:r>
              <w:rPr>
                <w:rFonts w:ascii="Arial" w:hAnsi="Arial" w:cs="Arial"/>
                <w:b/>
                <w:sz w:val="22"/>
                <w:szCs w:val="22"/>
              </w:rPr>
              <w:t xml:space="preserve">  Q1</w:t>
            </w:r>
            <w:r w:rsidR="002F3742">
              <w:rPr>
                <w:rFonts w:ascii="Arial" w:hAnsi="Arial" w:cs="Arial"/>
                <w:b/>
                <w:sz w:val="22"/>
                <w:szCs w:val="22"/>
              </w:rPr>
              <w:t>4</w:t>
            </w:r>
            <w:r w:rsidR="00595D56" w:rsidRPr="00122DF6">
              <w:rPr>
                <w:rFonts w:ascii="Arial" w:hAnsi="Arial" w:cs="Arial"/>
                <w:b/>
                <w:sz w:val="22"/>
                <w:szCs w:val="22"/>
              </w:rPr>
              <w:t>.</w:t>
            </w:r>
            <w:r w:rsidR="002F3742" w:rsidRPr="003146A0">
              <w:rPr>
                <w:rFonts w:ascii="Arial" w:hAnsi="Arial" w:cs="Arial"/>
                <w:sz w:val="22"/>
                <w:szCs w:val="22"/>
              </w:rPr>
              <w:t>Do you have any further comments or feedback on the proposed changes to SR code 6.1.1? What would be the impact of such proposals in terms of resource or cost?</w:t>
            </w:r>
          </w:p>
        </w:tc>
      </w:tr>
      <w:tr w:rsidR="00595D56" w:rsidRPr="00FE6A6C" w:rsidTr="002F3742">
        <w:tc>
          <w:tcPr>
            <w:tcW w:w="9595" w:type="dxa"/>
            <w:shd w:val="clear" w:color="auto" w:fill="auto"/>
          </w:tcPr>
          <w:p w:rsidR="00782282" w:rsidRPr="00782282" w:rsidRDefault="00782282" w:rsidP="00B7495F">
            <w:pPr>
              <w:pStyle w:val="Basictext"/>
              <w:ind w:left="0" w:firstLine="0"/>
              <w:rPr>
                <w:rFonts w:ascii="Calibri" w:hAnsi="Calibri" w:cs="Calibri"/>
              </w:rPr>
            </w:pPr>
            <w:r>
              <w:rPr>
                <w:rFonts w:ascii="Calibri" w:hAnsi="Calibri" w:cs="Calibri"/>
              </w:rPr>
              <w:t xml:space="preserve">In order to ensure </w:t>
            </w:r>
            <w:proofErr w:type="gramStart"/>
            <w:r>
              <w:rPr>
                <w:rFonts w:ascii="Calibri" w:hAnsi="Calibri" w:cs="Calibri"/>
              </w:rPr>
              <w:t>staff are</w:t>
            </w:r>
            <w:proofErr w:type="gramEnd"/>
            <w:r>
              <w:rPr>
                <w:rFonts w:ascii="Calibri" w:hAnsi="Calibri" w:cs="Calibri"/>
              </w:rPr>
              <w:t xml:space="preserve"> familiar with, and confident to implement,</w:t>
            </w:r>
            <w:r w:rsidR="006C1828">
              <w:rPr>
                <w:rFonts w:ascii="Calibri" w:hAnsi="Calibri" w:cs="Calibri"/>
              </w:rPr>
              <w:t xml:space="preserve"> </w:t>
            </w:r>
            <w:r>
              <w:rPr>
                <w:rFonts w:ascii="Calibri" w:hAnsi="Calibri" w:cs="Calibri"/>
              </w:rPr>
              <w:t xml:space="preserve">new or amended dispute and complaints processes, operators will incur the cost of inducting and training staff in this area, including periodic refresher training as needed. </w:t>
            </w:r>
            <w:r w:rsidR="00B17302">
              <w:rPr>
                <w:rFonts w:ascii="Calibri" w:hAnsi="Calibri" w:cs="Calibri"/>
              </w:rPr>
              <w:t xml:space="preserve"> </w:t>
            </w:r>
            <w:r>
              <w:rPr>
                <w:rFonts w:ascii="Calibri" w:hAnsi="Calibri" w:cs="Calibri"/>
              </w:rPr>
              <w:t xml:space="preserve">However, a more robust and transparent process, with </w:t>
            </w:r>
            <w:r w:rsidR="00B17302">
              <w:rPr>
                <w:rFonts w:ascii="Calibri" w:hAnsi="Calibri" w:cs="Calibri"/>
              </w:rPr>
              <w:t>customers provided with clearer and more straightforward information</w:t>
            </w:r>
            <w:r w:rsidR="008A02D5">
              <w:rPr>
                <w:rFonts w:ascii="Calibri" w:hAnsi="Calibri" w:cs="Calibri"/>
              </w:rPr>
              <w:t>,</w:t>
            </w:r>
            <w:r w:rsidR="00B17302">
              <w:rPr>
                <w:rFonts w:ascii="Calibri" w:hAnsi="Calibri" w:cs="Calibri"/>
              </w:rPr>
              <w:t xml:space="preserve"> and </w:t>
            </w:r>
            <w:r>
              <w:rPr>
                <w:rFonts w:ascii="Calibri" w:hAnsi="Calibri" w:cs="Calibri"/>
              </w:rPr>
              <w:t>staff handling complaints more</w:t>
            </w:r>
            <w:r w:rsidR="00B17302">
              <w:rPr>
                <w:rFonts w:ascii="Calibri" w:hAnsi="Calibri" w:cs="Calibri"/>
              </w:rPr>
              <w:t xml:space="preserve"> efficiently, may help to contribute to a lowering of costs relating to ongoing disputes and court action.</w:t>
            </w:r>
          </w:p>
          <w:p w:rsidR="00595D56" w:rsidRPr="00FE6A6C" w:rsidRDefault="00595D56" w:rsidP="00B7495F">
            <w:pPr>
              <w:pStyle w:val="Basictext"/>
              <w:ind w:left="0" w:firstLine="0"/>
            </w:pPr>
          </w:p>
        </w:tc>
      </w:tr>
    </w:tbl>
    <w:p w:rsidR="00595D56" w:rsidRDefault="00595D56" w:rsidP="00595D56">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595D56" w:rsidRPr="0067558E" w:rsidTr="00896E8F">
        <w:tc>
          <w:tcPr>
            <w:tcW w:w="9821" w:type="dxa"/>
            <w:shd w:val="clear" w:color="auto" w:fill="FFC8A3"/>
          </w:tcPr>
          <w:p w:rsidR="00595D56" w:rsidRPr="0067558E" w:rsidRDefault="001246A4" w:rsidP="002F3742">
            <w:pPr>
              <w:pBdr>
                <w:top w:val="single" w:sz="4" w:space="1" w:color="1996B9"/>
                <w:left w:val="single" w:sz="4" w:space="4" w:color="1996B9"/>
                <w:bottom w:val="single" w:sz="4" w:space="1" w:color="1996B9"/>
                <w:right w:val="single" w:sz="4" w:space="4" w:color="1996B9"/>
              </w:pBdr>
              <w:ind w:left="426" w:hanging="568"/>
              <w:rPr>
                <w:rFonts w:ascii="Arial" w:hAnsi="Arial" w:cs="Arial"/>
                <w:sz w:val="22"/>
                <w:szCs w:val="22"/>
              </w:rPr>
            </w:pPr>
            <w:r>
              <w:rPr>
                <w:rFonts w:ascii="Arial" w:hAnsi="Arial" w:cs="Arial"/>
                <w:b/>
                <w:sz w:val="22"/>
                <w:szCs w:val="22"/>
              </w:rPr>
              <w:t xml:space="preserve">  Q1</w:t>
            </w:r>
            <w:r w:rsidR="002F3742">
              <w:rPr>
                <w:rFonts w:ascii="Arial" w:hAnsi="Arial" w:cs="Arial"/>
                <w:b/>
                <w:sz w:val="22"/>
                <w:szCs w:val="22"/>
              </w:rPr>
              <w:t>5</w:t>
            </w:r>
            <w:r w:rsidR="00595D56" w:rsidRPr="00122DF6">
              <w:rPr>
                <w:rFonts w:ascii="Arial" w:hAnsi="Arial" w:cs="Arial"/>
                <w:b/>
                <w:sz w:val="22"/>
                <w:szCs w:val="22"/>
              </w:rPr>
              <w:t>.</w:t>
            </w:r>
            <w:r w:rsidR="002F3742" w:rsidRPr="003146A0">
              <w:rPr>
                <w:rFonts w:ascii="Arial" w:hAnsi="Arial" w:cs="Arial"/>
                <w:sz w:val="22"/>
                <w:szCs w:val="22"/>
              </w:rPr>
              <w:t xml:space="preserve">Do you have any further comments or feedback on the content of the proposed </w:t>
            </w:r>
            <w:r w:rsidR="002F3742" w:rsidRPr="002614AC">
              <w:rPr>
                <w:rFonts w:ascii="Arial" w:hAnsi="Arial" w:cs="Arial"/>
                <w:sz w:val="22"/>
                <w:szCs w:val="22"/>
              </w:rPr>
              <w:t>advice?</w:t>
            </w:r>
            <w:r w:rsidR="002F3742" w:rsidRPr="003146A0">
              <w:rPr>
                <w:rFonts w:ascii="Arial" w:hAnsi="Arial" w:cs="Arial"/>
                <w:sz w:val="22"/>
                <w:szCs w:val="22"/>
              </w:rPr>
              <w:t xml:space="preserve"> What would be the impact of the proposals in terms of resource or cost?</w:t>
            </w:r>
          </w:p>
        </w:tc>
      </w:tr>
      <w:tr w:rsidR="00595D56" w:rsidRPr="00FE6A6C" w:rsidTr="00896E8F">
        <w:tc>
          <w:tcPr>
            <w:tcW w:w="9821" w:type="dxa"/>
            <w:shd w:val="clear" w:color="auto" w:fill="auto"/>
          </w:tcPr>
          <w:p w:rsidR="00595D56" w:rsidRDefault="001778F9" w:rsidP="00B7495F">
            <w:pPr>
              <w:pStyle w:val="Basictext"/>
              <w:ind w:left="0" w:firstLine="0"/>
              <w:rPr>
                <w:rFonts w:ascii="Calibri" w:hAnsi="Calibri" w:cs="Calibri"/>
              </w:rPr>
            </w:pPr>
            <w:r>
              <w:rPr>
                <w:rFonts w:ascii="Calibri" w:hAnsi="Calibri" w:cs="Calibri"/>
              </w:rPr>
              <w:t xml:space="preserve">The consultation confirms that the Commission’s </w:t>
            </w:r>
            <w:r w:rsidR="006C1828">
              <w:rPr>
                <w:rFonts w:ascii="Calibri" w:hAnsi="Calibri" w:cs="Calibri"/>
              </w:rPr>
              <w:t xml:space="preserve">2017 </w:t>
            </w:r>
            <w:r>
              <w:rPr>
                <w:rFonts w:ascii="Calibri" w:hAnsi="Calibri" w:cs="Calibri"/>
              </w:rPr>
              <w:t xml:space="preserve">review found that </w:t>
            </w:r>
            <w:r w:rsidR="006C1828">
              <w:rPr>
                <w:rFonts w:ascii="Calibri" w:hAnsi="Calibri" w:cs="Calibri"/>
              </w:rPr>
              <w:t xml:space="preserve">few policies it examined </w:t>
            </w:r>
            <w:r>
              <w:rPr>
                <w:rFonts w:ascii="Calibri" w:hAnsi="Calibri" w:cs="Calibri"/>
              </w:rPr>
              <w:t>explain</w:t>
            </w:r>
            <w:r w:rsidR="006C1828">
              <w:rPr>
                <w:rFonts w:ascii="Calibri" w:hAnsi="Calibri" w:cs="Calibri"/>
              </w:rPr>
              <w:t>ed</w:t>
            </w:r>
            <w:r>
              <w:rPr>
                <w:rFonts w:ascii="Calibri" w:hAnsi="Calibri" w:cs="Calibri"/>
              </w:rPr>
              <w:t xml:space="preserve"> the independent role of ADRs. The Commission may wish to consider expanding</w:t>
            </w:r>
            <w:r w:rsidR="00D2307A" w:rsidRPr="00D2307A">
              <w:rPr>
                <w:rFonts w:ascii="Calibri" w:hAnsi="Calibri" w:cs="Calibri"/>
              </w:rPr>
              <w:t xml:space="preserve"> para</w:t>
            </w:r>
            <w:r>
              <w:rPr>
                <w:rFonts w:ascii="Calibri" w:hAnsi="Calibri" w:cs="Calibri"/>
              </w:rPr>
              <w:t>graph</w:t>
            </w:r>
            <w:r w:rsidR="00D2307A" w:rsidRPr="00D2307A">
              <w:rPr>
                <w:rFonts w:ascii="Calibri" w:hAnsi="Calibri" w:cs="Calibri"/>
              </w:rPr>
              <w:t xml:space="preserve"> 5.1 of the proposed advice to include </w:t>
            </w:r>
            <w:r>
              <w:rPr>
                <w:rFonts w:ascii="Calibri" w:hAnsi="Calibri" w:cs="Calibri"/>
              </w:rPr>
              <w:t>the</w:t>
            </w:r>
            <w:r w:rsidR="00D2307A" w:rsidRPr="00D2307A">
              <w:rPr>
                <w:rFonts w:ascii="Calibri" w:hAnsi="Calibri" w:cs="Calibri"/>
              </w:rPr>
              <w:t xml:space="preserve"> </w:t>
            </w:r>
            <w:r>
              <w:rPr>
                <w:rFonts w:ascii="Calibri" w:hAnsi="Calibri" w:cs="Calibri"/>
              </w:rPr>
              <w:t>provision of</w:t>
            </w:r>
            <w:r w:rsidR="00B17302">
              <w:rPr>
                <w:rFonts w:ascii="Calibri" w:hAnsi="Calibri" w:cs="Calibri"/>
              </w:rPr>
              <w:t xml:space="preserve"> explicit information </w:t>
            </w:r>
            <w:r>
              <w:rPr>
                <w:rFonts w:ascii="Calibri" w:hAnsi="Calibri" w:cs="Calibri"/>
              </w:rPr>
              <w:t xml:space="preserve">regarding </w:t>
            </w:r>
            <w:r w:rsidR="00D2307A" w:rsidRPr="00D2307A">
              <w:rPr>
                <w:rFonts w:ascii="Calibri" w:hAnsi="Calibri" w:cs="Calibri"/>
              </w:rPr>
              <w:t>ADRs</w:t>
            </w:r>
            <w:r>
              <w:rPr>
                <w:rFonts w:ascii="Calibri" w:hAnsi="Calibri" w:cs="Calibri"/>
              </w:rPr>
              <w:t>’ role and purpose</w:t>
            </w:r>
            <w:r w:rsidR="008A02D5">
              <w:rPr>
                <w:rFonts w:ascii="Calibri" w:hAnsi="Calibri" w:cs="Calibri"/>
              </w:rPr>
              <w:t>.</w:t>
            </w:r>
            <w:r w:rsidR="00B17302">
              <w:rPr>
                <w:rFonts w:ascii="Calibri" w:hAnsi="Calibri" w:cs="Calibri"/>
              </w:rPr>
              <w:t xml:space="preserve"> Whilst this may be implied in </w:t>
            </w:r>
            <w:r>
              <w:rPr>
                <w:rFonts w:ascii="Calibri" w:hAnsi="Calibri" w:cs="Calibri"/>
              </w:rPr>
              <w:t xml:space="preserve">the guidance, we feel that </w:t>
            </w:r>
            <w:r w:rsidR="00E33B3C">
              <w:rPr>
                <w:rFonts w:ascii="Calibri" w:hAnsi="Calibri" w:cs="Calibri"/>
              </w:rPr>
              <w:t>making this explicit</w:t>
            </w:r>
            <w:r>
              <w:rPr>
                <w:rFonts w:ascii="Calibri" w:hAnsi="Calibri" w:cs="Calibri"/>
              </w:rPr>
              <w:t xml:space="preserve"> would improve customers’ understanding of the process and help </w:t>
            </w:r>
            <w:r w:rsidR="00E33B3C">
              <w:rPr>
                <w:rFonts w:ascii="Calibri" w:hAnsi="Calibri" w:cs="Calibri"/>
              </w:rPr>
              <w:t xml:space="preserve">to </w:t>
            </w:r>
            <w:r>
              <w:rPr>
                <w:rFonts w:ascii="Calibri" w:hAnsi="Calibri" w:cs="Calibri"/>
              </w:rPr>
              <w:t>manage their expectations.</w:t>
            </w:r>
          </w:p>
          <w:p w:rsidR="001778F9" w:rsidRPr="001778F9" w:rsidRDefault="001778F9" w:rsidP="00B7495F">
            <w:pPr>
              <w:pStyle w:val="Basictext"/>
              <w:ind w:left="0" w:firstLine="0"/>
              <w:rPr>
                <w:rFonts w:ascii="Calibri" w:hAnsi="Calibri" w:cs="Calibri"/>
              </w:rPr>
            </w:pPr>
          </w:p>
        </w:tc>
      </w:tr>
    </w:tbl>
    <w:p w:rsidR="00595D56" w:rsidRDefault="00595D56" w:rsidP="001B386C">
      <w:pPr>
        <w:pStyle w:val="Default"/>
        <w:rPr>
          <w:sz w:val="22"/>
          <w:szCs w:val="22"/>
        </w:rPr>
      </w:pPr>
    </w:p>
    <w:p w:rsidR="0087129A" w:rsidRDefault="0087129A">
      <w:pPr>
        <w:rPr>
          <w:rFonts w:ascii="Arial" w:hAnsi="Arial" w:cs="Arial"/>
          <w:b/>
          <w:color w:val="FF6600"/>
          <w:szCs w:val="24"/>
        </w:rPr>
      </w:pPr>
      <w:r>
        <w:rPr>
          <w:rFonts w:ascii="Arial" w:hAnsi="Arial" w:cs="Arial"/>
          <w:b/>
          <w:color w:val="FF6600"/>
          <w:szCs w:val="24"/>
        </w:rPr>
        <w:br w:type="page"/>
      </w:r>
    </w:p>
    <w:p w:rsidR="00360DE3" w:rsidRPr="005855BD" w:rsidRDefault="00360DE3" w:rsidP="00360DE3">
      <w:pPr>
        <w:ind w:hanging="142"/>
        <w:rPr>
          <w:rFonts w:ascii="Arial" w:hAnsi="Arial" w:cs="Arial"/>
          <w:b/>
          <w:color w:val="FF6600"/>
          <w:szCs w:val="24"/>
        </w:rPr>
      </w:pPr>
      <w:r w:rsidRPr="005855BD">
        <w:rPr>
          <w:rFonts w:ascii="Arial" w:hAnsi="Arial" w:cs="Arial"/>
          <w:b/>
          <w:color w:val="FF6600"/>
          <w:szCs w:val="24"/>
        </w:rPr>
        <w:lastRenderedPageBreak/>
        <w:t xml:space="preserve">Section </w:t>
      </w:r>
      <w:r w:rsidR="002F3742">
        <w:rPr>
          <w:rFonts w:ascii="Arial" w:hAnsi="Arial" w:cs="Arial"/>
          <w:b/>
          <w:color w:val="FF6600"/>
          <w:szCs w:val="24"/>
        </w:rPr>
        <w:t>4.21 – 4</w:t>
      </w:r>
      <w:r>
        <w:rPr>
          <w:rFonts w:ascii="Arial" w:hAnsi="Arial" w:cs="Arial"/>
          <w:b/>
          <w:color w:val="FF6600"/>
          <w:szCs w:val="24"/>
        </w:rPr>
        <w:t>.</w:t>
      </w:r>
      <w:r w:rsidR="002F3742">
        <w:rPr>
          <w:rFonts w:ascii="Arial" w:hAnsi="Arial" w:cs="Arial"/>
          <w:b/>
          <w:color w:val="FF6600"/>
          <w:szCs w:val="24"/>
        </w:rPr>
        <w:t>25</w:t>
      </w:r>
      <w:r w:rsidRPr="005855BD">
        <w:rPr>
          <w:rFonts w:ascii="Arial" w:hAnsi="Arial" w:cs="Arial"/>
          <w:b/>
          <w:color w:val="FF6600"/>
          <w:szCs w:val="24"/>
        </w:rPr>
        <w:t xml:space="preserve"> of the consultation:</w:t>
      </w:r>
    </w:p>
    <w:p w:rsidR="00360DE3" w:rsidRDefault="00360DE3" w:rsidP="00360DE3">
      <w:pPr>
        <w:pStyle w:val="Subhead1"/>
      </w:pPr>
    </w:p>
    <w:p w:rsidR="00360DE3" w:rsidRDefault="000E53F8" w:rsidP="00360DE3">
      <w:pPr>
        <w:pStyle w:val="Subhead1"/>
        <w:ind w:hanging="862"/>
      </w:pPr>
      <w:r>
        <w:t>Future changes – improving the ADR processes</w:t>
      </w:r>
    </w:p>
    <w:p w:rsidR="00360DE3" w:rsidRDefault="00360DE3" w:rsidP="00360DE3">
      <w:pPr>
        <w:pStyle w:val="Basict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360DE3" w:rsidRPr="0029629A" w:rsidTr="00896E8F">
        <w:tc>
          <w:tcPr>
            <w:tcW w:w="9821" w:type="dxa"/>
            <w:shd w:val="clear" w:color="auto" w:fill="FFC8A3"/>
          </w:tcPr>
          <w:p w:rsidR="00360DE3" w:rsidRPr="0067558E" w:rsidRDefault="00360DE3" w:rsidP="000E53F8">
            <w:pPr>
              <w:pBdr>
                <w:top w:val="single" w:sz="4" w:space="1" w:color="1996B9"/>
                <w:left w:val="single" w:sz="4" w:space="4" w:color="1996B9"/>
                <w:bottom w:val="single" w:sz="4" w:space="1" w:color="1996B9"/>
                <w:right w:val="single" w:sz="4" w:space="4" w:color="1996B9"/>
              </w:pBdr>
              <w:ind w:left="426" w:hanging="568"/>
              <w:rPr>
                <w:rFonts w:ascii="Arial" w:hAnsi="Arial" w:cs="Arial"/>
                <w:sz w:val="22"/>
                <w:szCs w:val="22"/>
              </w:rPr>
            </w:pPr>
            <w:r>
              <w:rPr>
                <w:rFonts w:ascii="Arial" w:hAnsi="Arial" w:cs="Arial"/>
                <w:b/>
                <w:sz w:val="22"/>
                <w:szCs w:val="22"/>
              </w:rPr>
              <w:t xml:space="preserve">  Q1</w:t>
            </w:r>
            <w:r w:rsidR="000E53F8">
              <w:rPr>
                <w:rFonts w:ascii="Arial" w:hAnsi="Arial" w:cs="Arial"/>
                <w:b/>
                <w:sz w:val="22"/>
                <w:szCs w:val="22"/>
              </w:rPr>
              <w:t>6</w:t>
            </w:r>
            <w:r w:rsidRPr="00122DF6">
              <w:rPr>
                <w:rFonts w:ascii="Arial" w:hAnsi="Arial" w:cs="Arial"/>
                <w:b/>
                <w:sz w:val="22"/>
                <w:szCs w:val="22"/>
              </w:rPr>
              <w:t>.</w:t>
            </w:r>
            <w:r w:rsidR="000E53F8" w:rsidRPr="003146A0">
              <w:rPr>
                <w:rFonts w:ascii="Arial" w:hAnsi="Arial" w:cs="Arial"/>
                <w:sz w:val="22"/>
                <w:szCs w:val="22"/>
              </w:rPr>
              <w:t xml:space="preserve">Do </w:t>
            </w:r>
            <w:r w:rsidR="000E53F8">
              <w:rPr>
                <w:rFonts w:ascii="Arial" w:hAnsi="Arial" w:cs="Arial"/>
                <w:sz w:val="22"/>
                <w:szCs w:val="22"/>
              </w:rPr>
              <w:t>you have any views on the outlined content of the future framework of standards for ADR providers, or our direction of travel in this area</w:t>
            </w:r>
            <w:r w:rsidR="000E53F8" w:rsidRPr="003146A0">
              <w:rPr>
                <w:rFonts w:ascii="Arial" w:hAnsi="Arial" w:cs="Arial"/>
                <w:sz w:val="22"/>
                <w:szCs w:val="22"/>
              </w:rPr>
              <w:t>?</w:t>
            </w:r>
          </w:p>
        </w:tc>
      </w:tr>
      <w:tr w:rsidR="00360DE3" w:rsidRPr="00FE6A6C" w:rsidTr="00896E8F">
        <w:tc>
          <w:tcPr>
            <w:tcW w:w="9821" w:type="dxa"/>
            <w:shd w:val="clear" w:color="auto" w:fill="auto"/>
          </w:tcPr>
          <w:p w:rsidR="00497923" w:rsidRDefault="0087129A" w:rsidP="00B7495F">
            <w:pPr>
              <w:pStyle w:val="Basictext"/>
              <w:ind w:left="0" w:firstLine="0"/>
              <w:rPr>
                <w:rFonts w:ascii="Calibri" w:hAnsi="Calibri" w:cs="Calibri"/>
              </w:rPr>
            </w:pPr>
            <w:r w:rsidRPr="0087129A">
              <w:rPr>
                <w:rFonts w:ascii="Calibri" w:hAnsi="Calibri" w:cs="Calibri"/>
              </w:rPr>
              <w:t>The content of the future framework of standards for ADR providers, outlined in the consultation, indicate that the framework will support</w:t>
            </w:r>
            <w:r w:rsidR="00497923">
              <w:rPr>
                <w:rFonts w:ascii="Calibri" w:hAnsi="Calibri" w:cs="Calibri"/>
              </w:rPr>
              <w:t xml:space="preserve"> providers to improve the quality and consistency of their services.  It will be important </w:t>
            </w:r>
            <w:r w:rsidR="00C56E4E">
              <w:rPr>
                <w:rFonts w:ascii="Calibri" w:hAnsi="Calibri" w:cs="Calibri"/>
              </w:rPr>
              <w:t>for</w:t>
            </w:r>
            <w:r w:rsidR="00497923">
              <w:rPr>
                <w:rFonts w:ascii="Calibri" w:hAnsi="Calibri" w:cs="Calibri"/>
              </w:rPr>
              <w:t xml:space="preserve"> this stage of the customer’s complaint process</w:t>
            </w:r>
            <w:r w:rsidR="00C56E4E">
              <w:rPr>
                <w:rFonts w:ascii="Calibri" w:hAnsi="Calibri" w:cs="Calibri"/>
              </w:rPr>
              <w:t xml:space="preserve">, if needed, </w:t>
            </w:r>
            <w:r w:rsidR="00B7495F">
              <w:rPr>
                <w:rFonts w:ascii="Calibri" w:hAnsi="Calibri" w:cs="Calibri"/>
              </w:rPr>
              <w:t xml:space="preserve">to </w:t>
            </w:r>
            <w:r w:rsidR="00C56E4E">
              <w:rPr>
                <w:rFonts w:ascii="Calibri" w:hAnsi="Calibri" w:cs="Calibri"/>
              </w:rPr>
              <w:t>reflect</w:t>
            </w:r>
            <w:r w:rsidR="00497923">
              <w:rPr>
                <w:rFonts w:ascii="Calibri" w:hAnsi="Calibri" w:cs="Calibri"/>
              </w:rPr>
              <w:t xml:space="preserve"> the objectives o</w:t>
            </w:r>
            <w:r w:rsidR="00C56E4E">
              <w:rPr>
                <w:rFonts w:ascii="Calibri" w:hAnsi="Calibri" w:cs="Calibri"/>
              </w:rPr>
              <w:t>f the relevant changes to LCCP,</w:t>
            </w:r>
            <w:r w:rsidR="00497923">
              <w:rPr>
                <w:rFonts w:ascii="Calibri" w:hAnsi="Calibri" w:cs="Calibri"/>
              </w:rPr>
              <w:t xml:space="preserve"> and that customers receive the same standard of service throughout. </w:t>
            </w:r>
          </w:p>
          <w:p w:rsidR="008A02D5" w:rsidRDefault="008A02D5" w:rsidP="00B7495F">
            <w:pPr>
              <w:pStyle w:val="Basictext"/>
              <w:ind w:left="0" w:firstLine="0"/>
              <w:rPr>
                <w:rFonts w:ascii="Calibri" w:hAnsi="Calibri" w:cs="Calibri"/>
              </w:rPr>
            </w:pPr>
          </w:p>
          <w:p w:rsidR="00360DE3" w:rsidRPr="0087129A" w:rsidRDefault="00497923" w:rsidP="00B7495F">
            <w:pPr>
              <w:pStyle w:val="Basictext"/>
              <w:ind w:left="0" w:firstLine="0"/>
              <w:rPr>
                <w:rFonts w:ascii="Calibri" w:hAnsi="Calibri" w:cs="Calibri"/>
              </w:rPr>
            </w:pPr>
            <w:r>
              <w:rPr>
                <w:rFonts w:ascii="Calibri" w:hAnsi="Calibri" w:cs="Calibri"/>
              </w:rPr>
              <w:t xml:space="preserve">We particularly welcome the reference to the </w:t>
            </w:r>
            <w:r w:rsidR="00C56E4E">
              <w:rPr>
                <w:rFonts w:ascii="Calibri" w:hAnsi="Calibri" w:cs="Calibri"/>
              </w:rPr>
              <w:t>importance of taking</w:t>
            </w:r>
            <w:r>
              <w:rPr>
                <w:rFonts w:ascii="Calibri" w:hAnsi="Calibri" w:cs="Calibri"/>
              </w:rPr>
              <w:t xml:space="preserve"> into account the needs of vulnerable customers, and hope that any future readability standard will apply to documentation used by ADR providers in their contact with customers they support.</w:t>
            </w:r>
          </w:p>
          <w:p w:rsidR="00360DE3" w:rsidRPr="00FE6A6C" w:rsidRDefault="00360DE3" w:rsidP="00B7495F">
            <w:pPr>
              <w:pStyle w:val="Basictext"/>
              <w:ind w:left="0" w:firstLine="0"/>
            </w:pPr>
          </w:p>
        </w:tc>
      </w:tr>
    </w:tbl>
    <w:p w:rsidR="00360DE3" w:rsidRDefault="00360DE3" w:rsidP="00360DE3">
      <w:pPr>
        <w:pStyle w:val="Default"/>
        <w:rPr>
          <w:sz w:val="22"/>
          <w:szCs w:val="22"/>
        </w:rPr>
      </w:pPr>
    </w:p>
    <w:p w:rsidR="000E53F8" w:rsidRPr="005855BD" w:rsidRDefault="000E53F8" w:rsidP="000E53F8">
      <w:pPr>
        <w:ind w:hanging="142"/>
        <w:rPr>
          <w:rFonts w:ascii="Arial" w:hAnsi="Arial" w:cs="Arial"/>
          <w:b/>
          <w:color w:val="FF6600"/>
          <w:szCs w:val="24"/>
        </w:rPr>
      </w:pPr>
      <w:r w:rsidRPr="005855BD">
        <w:rPr>
          <w:rFonts w:ascii="Arial" w:hAnsi="Arial" w:cs="Arial"/>
          <w:b/>
          <w:color w:val="FF6600"/>
          <w:szCs w:val="24"/>
        </w:rPr>
        <w:t xml:space="preserve">Section </w:t>
      </w:r>
      <w:r>
        <w:rPr>
          <w:rFonts w:ascii="Arial" w:hAnsi="Arial" w:cs="Arial"/>
          <w:b/>
          <w:color w:val="FF6600"/>
          <w:szCs w:val="24"/>
        </w:rPr>
        <w:t>3.32 – 3.34</w:t>
      </w:r>
      <w:r w:rsidRPr="005855BD">
        <w:rPr>
          <w:rFonts w:ascii="Arial" w:hAnsi="Arial" w:cs="Arial"/>
          <w:b/>
          <w:color w:val="FF6600"/>
          <w:szCs w:val="24"/>
        </w:rPr>
        <w:t xml:space="preserve"> of the consultation:</w:t>
      </w:r>
    </w:p>
    <w:p w:rsidR="000E53F8" w:rsidRDefault="000E53F8" w:rsidP="000E53F8">
      <w:pPr>
        <w:pStyle w:val="Subhead1"/>
      </w:pPr>
    </w:p>
    <w:p w:rsidR="000E53F8" w:rsidRDefault="000E53F8" w:rsidP="000E53F8">
      <w:pPr>
        <w:pStyle w:val="Subhead1"/>
        <w:ind w:hanging="862"/>
      </w:pPr>
      <w:r>
        <w:t>General – ‘readability’ of consumer information</w:t>
      </w:r>
    </w:p>
    <w:p w:rsidR="000E53F8" w:rsidRDefault="000E53F8" w:rsidP="00360DE3">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360DE3" w:rsidRPr="0067558E" w:rsidTr="00896E8F">
        <w:tc>
          <w:tcPr>
            <w:tcW w:w="9821" w:type="dxa"/>
            <w:shd w:val="clear" w:color="auto" w:fill="FFC8A3"/>
          </w:tcPr>
          <w:p w:rsidR="00360DE3" w:rsidRPr="0067558E" w:rsidRDefault="000E53F8" w:rsidP="00896E8F">
            <w:pPr>
              <w:pBdr>
                <w:top w:val="single" w:sz="4" w:space="1" w:color="1996B9"/>
                <w:left w:val="single" w:sz="4" w:space="4" w:color="1996B9"/>
                <w:bottom w:val="single" w:sz="4" w:space="1" w:color="1996B9"/>
                <w:right w:val="single" w:sz="4" w:space="4" w:color="1996B9"/>
              </w:pBdr>
              <w:ind w:left="426" w:hanging="568"/>
              <w:rPr>
                <w:rFonts w:ascii="Arial" w:hAnsi="Arial" w:cs="Arial"/>
                <w:sz w:val="22"/>
                <w:szCs w:val="22"/>
              </w:rPr>
            </w:pPr>
            <w:r>
              <w:rPr>
                <w:rFonts w:ascii="Arial" w:hAnsi="Arial" w:cs="Arial"/>
                <w:b/>
                <w:sz w:val="22"/>
                <w:szCs w:val="22"/>
              </w:rPr>
              <w:t xml:space="preserve">  Q17</w:t>
            </w:r>
            <w:r w:rsidR="00360DE3" w:rsidRPr="00122DF6">
              <w:rPr>
                <w:rFonts w:ascii="Arial" w:hAnsi="Arial" w:cs="Arial"/>
                <w:b/>
                <w:sz w:val="22"/>
                <w:szCs w:val="22"/>
              </w:rPr>
              <w:t>.</w:t>
            </w:r>
            <w:r w:rsidRPr="003146A0">
              <w:rPr>
                <w:rFonts w:ascii="Arial" w:hAnsi="Arial" w:cs="Arial"/>
                <w:sz w:val="22"/>
                <w:szCs w:val="22"/>
              </w:rPr>
              <w:t>What are your views on introducing a required readability standard for customer facing documents in the future? What might such a standard look like? What would the impact of such a requirement be for licensees or for customers?</w:t>
            </w:r>
          </w:p>
        </w:tc>
      </w:tr>
      <w:tr w:rsidR="00360DE3" w:rsidRPr="00FE6A6C" w:rsidTr="00896E8F">
        <w:tc>
          <w:tcPr>
            <w:tcW w:w="9821" w:type="dxa"/>
            <w:shd w:val="clear" w:color="auto" w:fill="auto"/>
          </w:tcPr>
          <w:p w:rsidR="00B222B1" w:rsidRDefault="00E33B3C" w:rsidP="008A02D5">
            <w:pPr>
              <w:pStyle w:val="Basictext"/>
              <w:ind w:left="0" w:firstLine="0"/>
              <w:rPr>
                <w:rFonts w:ascii="Calibri" w:hAnsi="Calibri" w:cs="Calibri"/>
              </w:rPr>
            </w:pPr>
            <w:r w:rsidRPr="00E33B3C">
              <w:rPr>
                <w:rFonts w:ascii="Calibri" w:hAnsi="Calibri" w:cs="Calibri"/>
              </w:rPr>
              <w:t>We strongly support the introduction of a required readability standard for customer facing</w:t>
            </w:r>
            <w:r w:rsidR="00745122">
              <w:rPr>
                <w:rFonts w:ascii="Calibri" w:hAnsi="Calibri" w:cs="Calibri"/>
              </w:rPr>
              <w:t xml:space="preserve"> documents The consultation highlights current levels of poor literacy in England (paragraph 5.2), and low levels of literacy and numeracy as indicators of vulnerability, together with other factors including mental ill health (paragraph 5.3). </w:t>
            </w:r>
            <w:r w:rsidR="00B222B1">
              <w:rPr>
                <w:rFonts w:ascii="Calibri" w:hAnsi="Calibri" w:cs="Calibri"/>
              </w:rPr>
              <w:t xml:space="preserve"> </w:t>
            </w:r>
          </w:p>
          <w:p w:rsidR="008A02D5" w:rsidRDefault="008A02D5" w:rsidP="008A02D5">
            <w:pPr>
              <w:pStyle w:val="Basictext"/>
              <w:ind w:left="0" w:firstLine="0"/>
              <w:rPr>
                <w:rFonts w:ascii="Calibri" w:hAnsi="Calibri" w:cs="Calibri"/>
              </w:rPr>
            </w:pPr>
          </w:p>
          <w:p w:rsidR="00B222B1" w:rsidRDefault="00B222B1" w:rsidP="008A02D5">
            <w:pPr>
              <w:pStyle w:val="Basictext"/>
              <w:ind w:left="0" w:firstLine="0"/>
              <w:rPr>
                <w:rFonts w:ascii="Calibri" w:hAnsi="Calibri" w:cs="Calibri"/>
              </w:rPr>
            </w:pPr>
            <w:r>
              <w:rPr>
                <w:rFonts w:ascii="Calibri" w:hAnsi="Calibri" w:cs="Calibri"/>
              </w:rPr>
              <w:t xml:space="preserve">We suggest that the Commission’s stated objectives of </w:t>
            </w:r>
            <w:proofErr w:type="gramStart"/>
            <w:r>
              <w:rPr>
                <w:rFonts w:ascii="Calibri" w:hAnsi="Calibri" w:cs="Calibri"/>
              </w:rPr>
              <w:t>openness,</w:t>
            </w:r>
            <w:proofErr w:type="gramEnd"/>
            <w:r>
              <w:rPr>
                <w:rFonts w:ascii="Calibri" w:hAnsi="Calibri" w:cs="Calibri"/>
              </w:rPr>
              <w:t xml:space="preserve"> fairness and transparency cannot help but be undermined if relevant, proposed changes were to be implemented without careful consideration of how future content is designed and worded. </w:t>
            </w:r>
          </w:p>
          <w:p w:rsidR="008A02D5" w:rsidRDefault="008A02D5" w:rsidP="008A02D5">
            <w:pPr>
              <w:pStyle w:val="Basictext"/>
              <w:ind w:left="0" w:firstLine="0"/>
              <w:rPr>
                <w:rFonts w:ascii="Calibri" w:hAnsi="Calibri" w:cs="Calibri"/>
              </w:rPr>
            </w:pPr>
          </w:p>
          <w:p w:rsidR="00CF7D34" w:rsidRDefault="00B222B1" w:rsidP="008A02D5">
            <w:pPr>
              <w:pStyle w:val="Basictext"/>
              <w:ind w:left="0" w:firstLine="0"/>
              <w:rPr>
                <w:rFonts w:ascii="Calibri" w:hAnsi="Calibri" w:cs="Calibri"/>
              </w:rPr>
            </w:pPr>
            <w:r>
              <w:rPr>
                <w:rFonts w:ascii="Calibri" w:hAnsi="Calibri" w:cs="Calibri"/>
              </w:rPr>
              <w:t>We are pleased to note that the advice/guidance relating to complaints procedures includes the suggestion that the needs of customers for w</w:t>
            </w:r>
            <w:r w:rsidR="00B7495F">
              <w:rPr>
                <w:rFonts w:ascii="Calibri" w:hAnsi="Calibri" w:cs="Calibri"/>
              </w:rPr>
              <w:t>hom English is second language and/</w:t>
            </w:r>
            <w:r>
              <w:rPr>
                <w:rFonts w:ascii="Calibri" w:hAnsi="Calibri" w:cs="Calibri"/>
              </w:rPr>
              <w:t xml:space="preserve">or </w:t>
            </w:r>
            <w:r w:rsidR="00C56E4E">
              <w:rPr>
                <w:rFonts w:ascii="Calibri" w:hAnsi="Calibri" w:cs="Calibri"/>
              </w:rPr>
              <w:t xml:space="preserve">those who </w:t>
            </w:r>
            <w:r>
              <w:rPr>
                <w:rFonts w:ascii="Calibri" w:hAnsi="Calibri" w:cs="Calibri"/>
              </w:rPr>
              <w:t>may find documents difficult to understand</w:t>
            </w:r>
            <w:r w:rsidR="00C56E4E">
              <w:rPr>
                <w:rFonts w:ascii="Calibri" w:hAnsi="Calibri" w:cs="Calibri"/>
              </w:rPr>
              <w:t>,</w:t>
            </w:r>
            <w:r>
              <w:rPr>
                <w:rFonts w:ascii="Calibri" w:hAnsi="Calibri" w:cs="Calibri"/>
              </w:rPr>
              <w:t xml:space="preserve"> </w:t>
            </w:r>
            <w:r w:rsidR="00C56E4E">
              <w:rPr>
                <w:rFonts w:ascii="Calibri" w:hAnsi="Calibri" w:cs="Calibri"/>
              </w:rPr>
              <w:t>should</w:t>
            </w:r>
            <w:r>
              <w:rPr>
                <w:rFonts w:ascii="Calibri" w:hAnsi="Calibri" w:cs="Calibri"/>
              </w:rPr>
              <w:t xml:space="preserve"> be taken into account.  However, we are concerned that a requirement for documents to be written in ‘clear, plain English’ or to be ‘clear and transparent’ may not be sufficient to ensure that the needs of vulnerable customers with poor literacy skills would be fully addressed.</w:t>
            </w:r>
            <w:r w:rsidR="00CF7D34">
              <w:rPr>
                <w:rFonts w:ascii="Calibri" w:hAnsi="Calibri" w:cs="Calibri"/>
              </w:rPr>
              <w:t xml:space="preserve">  </w:t>
            </w:r>
          </w:p>
          <w:p w:rsidR="008A02D5" w:rsidRDefault="008A02D5" w:rsidP="008A02D5">
            <w:pPr>
              <w:pStyle w:val="Basictext"/>
              <w:ind w:left="0" w:firstLine="0"/>
              <w:rPr>
                <w:rFonts w:ascii="Calibri" w:hAnsi="Calibri" w:cs="Calibri"/>
              </w:rPr>
            </w:pPr>
          </w:p>
          <w:p w:rsidR="00745122" w:rsidRDefault="00CF7D34" w:rsidP="008A02D5">
            <w:pPr>
              <w:pStyle w:val="Basictext"/>
              <w:ind w:left="0" w:firstLine="0"/>
              <w:rPr>
                <w:rFonts w:ascii="Calibri" w:hAnsi="Calibri" w:cs="Calibri"/>
              </w:rPr>
            </w:pPr>
            <w:r>
              <w:rPr>
                <w:rFonts w:ascii="Calibri" w:hAnsi="Calibri" w:cs="Calibri"/>
              </w:rPr>
              <w:t>A readability standard could provide specific indicators to help the industry improve the quality of their materials, and thereby help protect customers from making poor decisions regarding their gambling behaviour.</w:t>
            </w:r>
          </w:p>
          <w:p w:rsidR="008A02D5" w:rsidRDefault="008A02D5" w:rsidP="008A02D5">
            <w:pPr>
              <w:pStyle w:val="Basictext"/>
              <w:ind w:left="0" w:firstLine="0"/>
              <w:rPr>
                <w:rFonts w:ascii="Calibri" w:hAnsi="Calibri" w:cs="Calibri"/>
              </w:rPr>
            </w:pPr>
          </w:p>
          <w:p w:rsidR="00EB2A44" w:rsidRDefault="00B222B1" w:rsidP="008A02D5">
            <w:pPr>
              <w:pStyle w:val="Basictext"/>
              <w:ind w:left="0" w:firstLine="0"/>
              <w:rPr>
                <w:rFonts w:ascii="Calibri" w:hAnsi="Calibri" w:cs="Calibri"/>
              </w:rPr>
            </w:pPr>
            <w:r>
              <w:rPr>
                <w:rFonts w:ascii="Calibri" w:hAnsi="Calibri" w:cs="Calibri"/>
              </w:rPr>
              <w:t>As the consultation confirms, there are tools available for businesses to use when developing customer facing documents</w:t>
            </w:r>
            <w:r w:rsidR="00406366">
              <w:rPr>
                <w:rFonts w:ascii="Calibri" w:hAnsi="Calibri" w:cs="Calibri"/>
              </w:rPr>
              <w:t xml:space="preserve"> which could help to</w:t>
            </w:r>
            <w:r>
              <w:rPr>
                <w:rFonts w:ascii="Calibri" w:hAnsi="Calibri" w:cs="Calibri"/>
              </w:rPr>
              <w:t xml:space="preserve"> inform </w:t>
            </w:r>
            <w:r w:rsidR="00CF7D34">
              <w:rPr>
                <w:rFonts w:ascii="Calibri" w:hAnsi="Calibri" w:cs="Calibri"/>
              </w:rPr>
              <w:t xml:space="preserve">the content of </w:t>
            </w:r>
            <w:r w:rsidR="00406366">
              <w:rPr>
                <w:rFonts w:ascii="Calibri" w:hAnsi="Calibri" w:cs="Calibri"/>
              </w:rPr>
              <w:t xml:space="preserve">such </w:t>
            </w:r>
            <w:r w:rsidR="00CF7D34">
              <w:rPr>
                <w:rFonts w:ascii="Calibri" w:hAnsi="Calibri" w:cs="Calibri"/>
              </w:rPr>
              <w:t>a</w:t>
            </w:r>
            <w:r w:rsidR="00406366">
              <w:rPr>
                <w:rFonts w:ascii="Calibri" w:hAnsi="Calibri" w:cs="Calibri"/>
              </w:rPr>
              <w:t xml:space="preserve"> standard, combined with consultation with professionals with direct experience of working on literacy/numeracy issues. </w:t>
            </w:r>
          </w:p>
          <w:p w:rsidR="00360DE3" w:rsidRPr="00FE6A6C" w:rsidRDefault="00360DE3" w:rsidP="008A02D5">
            <w:pPr>
              <w:pStyle w:val="Basictext"/>
              <w:ind w:left="0" w:firstLine="0"/>
            </w:pPr>
          </w:p>
        </w:tc>
      </w:tr>
    </w:tbl>
    <w:p w:rsidR="00896E8F" w:rsidRDefault="00896E8F" w:rsidP="00E57FDC">
      <w:pPr>
        <w:pStyle w:val="Default"/>
        <w:rPr>
          <w:sz w:val="22"/>
          <w:szCs w:val="22"/>
        </w:rPr>
      </w:pPr>
    </w:p>
    <w:p w:rsidR="00E57FDC" w:rsidRPr="00261BC8" w:rsidRDefault="006D5AD8" w:rsidP="00261BC8">
      <w:pPr>
        <w:pStyle w:val="Default"/>
        <w:ind w:left="720" w:hanging="720"/>
      </w:pPr>
      <w:r>
        <w:rPr>
          <w:b/>
          <w:color w:val="FF6600"/>
        </w:rPr>
        <w:t>1.</w:t>
      </w:r>
      <w:r w:rsidR="00D60BDB">
        <w:rPr>
          <w:b/>
          <w:color w:val="FF6600"/>
        </w:rPr>
        <w:t>6</w:t>
      </w:r>
      <w:r w:rsidR="00261BC8">
        <w:tab/>
      </w:r>
      <w:r w:rsidR="00E57FDC">
        <w:rPr>
          <w:sz w:val="22"/>
          <w:szCs w:val="22"/>
        </w:rPr>
        <w:t>Please note that responses may be made public or published in a summary of responses o</w:t>
      </w:r>
      <w:r w:rsidR="003B348C">
        <w:rPr>
          <w:sz w:val="22"/>
          <w:szCs w:val="22"/>
        </w:rPr>
        <w:t>f</w:t>
      </w:r>
      <w:r w:rsidR="00E57FDC">
        <w:rPr>
          <w:sz w:val="22"/>
          <w:szCs w:val="22"/>
        </w:rPr>
        <w:t xml:space="preserve"> the consultation </w:t>
      </w:r>
      <w:r w:rsidR="00E57FDC" w:rsidRPr="000E53F8">
        <w:rPr>
          <w:b/>
          <w:sz w:val="22"/>
          <w:szCs w:val="22"/>
        </w:rPr>
        <w:t>unless you state clearly that you wish your response or name to be treated confidentially</w:t>
      </w:r>
      <w:r w:rsidR="00E57FDC">
        <w:rPr>
          <w:sz w:val="22"/>
          <w:szCs w:val="22"/>
        </w:rPr>
        <w:t xml:space="preserve">. Confidential responses will be included in any statistical summary of numbers of comments received. If you are replying by email or via the website, unless you specifically include a request to the contrary in the main text of your submission, the Commission will assume your consent overrides any confidentiality disclaimer that is generated by your organisation’s IT system. </w:t>
      </w:r>
    </w:p>
    <w:p w:rsidR="00E57FDC" w:rsidRDefault="00E57FDC" w:rsidP="00E57FDC">
      <w:pPr>
        <w:pStyle w:val="Default"/>
        <w:rPr>
          <w:b/>
          <w:bCs/>
          <w:sz w:val="22"/>
          <w:szCs w:val="22"/>
        </w:rPr>
      </w:pPr>
    </w:p>
    <w:p w:rsidR="000E53F8" w:rsidRDefault="006D5AD8" w:rsidP="00261BC8">
      <w:pPr>
        <w:pStyle w:val="Default"/>
        <w:ind w:left="720" w:hanging="720"/>
        <w:rPr>
          <w:sz w:val="22"/>
          <w:szCs w:val="22"/>
        </w:rPr>
      </w:pPr>
      <w:r>
        <w:rPr>
          <w:b/>
          <w:color w:val="FF6600"/>
        </w:rPr>
        <w:t>1.</w:t>
      </w:r>
      <w:r w:rsidR="00D60BDB">
        <w:rPr>
          <w:b/>
          <w:color w:val="FF6600"/>
        </w:rPr>
        <w:t>7</w:t>
      </w:r>
      <w:r w:rsidR="00261BC8">
        <w:tab/>
      </w:r>
      <w:r w:rsidR="00E57FDC">
        <w:rPr>
          <w:sz w:val="22"/>
          <w:szCs w:val="22"/>
        </w:rPr>
        <w:t xml:space="preserve">Any information or material sent to us and which we record may be subject to the Freedom of Information Act 2000 (FOIA). The Commission’s policy on release of information is available on request or by reference to our website at </w:t>
      </w:r>
      <w:hyperlink r:id="rId17" w:history="1">
        <w:r w:rsidR="000E53F8" w:rsidRPr="00A57ACD">
          <w:rPr>
            <w:rStyle w:val="Hyperlink"/>
            <w:sz w:val="22"/>
            <w:szCs w:val="22"/>
          </w:rPr>
          <w:t>www.gamblingcommission.gov.uk</w:t>
        </w:r>
      </w:hyperlink>
      <w:r w:rsidR="00E57FDC">
        <w:rPr>
          <w:sz w:val="22"/>
          <w:szCs w:val="22"/>
        </w:rPr>
        <w:t>.</w:t>
      </w:r>
    </w:p>
    <w:p w:rsidR="000E53F8" w:rsidRDefault="000E53F8" w:rsidP="00261BC8">
      <w:pPr>
        <w:pStyle w:val="Default"/>
        <w:ind w:left="720" w:hanging="720"/>
        <w:rPr>
          <w:sz w:val="22"/>
          <w:szCs w:val="22"/>
        </w:rPr>
      </w:pPr>
    </w:p>
    <w:p w:rsidR="00E57FDC" w:rsidRDefault="000E53F8" w:rsidP="00261BC8">
      <w:pPr>
        <w:pStyle w:val="Default"/>
        <w:ind w:left="720" w:hanging="720"/>
        <w:rPr>
          <w:sz w:val="22"/>
          <w:szCs w:val="22"/>
        </w:rPr>
      </w:pPr>
      <w:r>
        <w:rPr>
          <w:b/>
          <w:color w:val="FF6600"/>
        </w:rPr>
        <w:t>1.8</w:t>
      </w:r>
      <w:r w:rsidR="00E57FDC">
        <w:rPr>
          <w:sz w:val="22"/>
          <w:szCs w:val="22"/>
        </w:rPr>
        <w:t xml:space="preserve">The Commission will treat information marked confidential accordingly and will only disclose that information to people outside the Commission where it is necessary to do so in order to carry out the Commission’s functions or where the Commission is required by law to disclose the information. As a public authority the Commission must comply with the requirements of FOIA and must consider requests for information made under the Act on a case-by-case basis. Therefore when providing information, if you think that certain information may be exempt from disclosure under FOIA, please annotate the response accordingly so that we may take your comments into account. </w:t>
      </w:r>
    </w:p>
    <w:p w:rsidR="00E57FDC" w:rsidRDefault="00E57FDC" w:rsidP="00E57FDC">
      <w:pPr>
        <w:pStyle w:val="Default"/>
        <w:rPr>
          <w:rStyle w:val="ParanumberblueChar"/>
        </w:rPr>
      </w:pPr>
    </w:p>
    <w:p w:rsidR="00A85CE9" w:rsidRPr="00356337" w:rsidRDefault="006D5AD8" w:rsidP="007609A6">
      <w:pPr>
        <w:pStyle w:val="Default"/>
        <w:ind w:left="720" w:hanging="720"/>
      </w:pPr>
      <w:r>
        <w:rPr>
          <w:b/>
          <w:color w:val="FF6600"/>
        </w:rPr>
        <w:t>1.</w:t>
      </w:r>
      <w:r w:rsidR="000E53F8">
        <w:rPr>
          <w:b/>
          <w:color w:val="FF6600"/>
        </w:rPr>
        <w:t>9</w:t>
      </w:r>
      <w:r w:rsidR="00261BC8">
        <w:tab/>
      </w:r>
      <w:r w:rsidR="00E57FDC">
        <w:rPr>
          <w:sz w:val="22"/>
          <w:szCs w:val="22"/>
        </w:rPr>
        <w:t xml:space="preserve">All information provided to the Commission will be processed in accordance with the Data Protection Act 1998. However, it may be disclosed to government departments or agencies, local authorities and other bodies when it is necessary to do so in order to carry out the functions of the Commission and where the Commission is legally required to do so. </w:t>
      </w:r>
    </w:p>
    <w:sectPr w:rsidR="00A85CE9" w:rsidRPr="00356337" w:rsidSect="0016644C">
      <w:footerReference w:type="default" r:id="rId18"/>
      <w:type w:val="continuous"/>
      <w:pgSz w:w="11909" w:h="16834" w:code="9"/>
      <w:pgMar w:top="1152" w:right="1152" w:bottom="864" w:left="1152" w:header="576" w:footer="57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E8F" w:rsidRDefault="00896E8F">
      <w:r>
        <w:separator/>
      </w:r>
    </w:p>
  </w:endnote>
  <w:endnote w:type="continuationSeparator" w:id="1">
    <w:p w:rsidR="00896E8F" w:rsidRDefault="00896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decorative"/>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8F" w:rsidRPr="00FC1194" w:rsidRDefault="009949E9">
    <w:pPr>
      <w:pStyle w:val="Footer"/>
      <w:jc w:val="center"/>
      <w:rPr>
        <w:rFonts w:ascii="Arial" w:hAnsi="Arial" w:cs="Arial"/>
        <w:sz w:val="22"/>
        <w:szCs w:val="22"/>
      </w:rPr>
    </w:pPr>
    <w:r w:rsidRPr="00FC1194">
      <w:rPr>
        <w:rFonts w:ascii="Arial" w:hAnsi="Arial" w:cs="Arial"/>
        <w:sz w:val="22"/>
        <w:szCs w:val="22"/>
      </w:rPr>
      <w:fldChar w:fldCharType="begin"/>
    </w:r>
    <w:r w:rsidR="00896E8F" w:rsidRPr="00FC1194">
      <w:rPr>
        <w:rFonts w:ascii="Arial" w:hAnsi="Arial" w:cs="Arial"/>
        <w:sz w:val="22"/>
        <w:szCs w:val="22"/>
      </w:rPr>
      <w:instrText xml:space="preserve"> PAGE   \* MERGEFORMAT </w:instrText>
    </w:r>
    <w:r w:rsidRPr="00FC1194">
      <w:rPr>
        <w:rFonts w:ascii="Arial" w:hAnsi="Arial" w:cs="Arial"/>
        <w:sz w:val="22"/>
        <w:szCs w:val="22"/>
      </w:rPr>
      <w:fldChar w:fldCharType="separate"/>
    </w:r>
    <w:r w:rsidR="0086255D">
      <w:rPr>
        <w:rFonts w:ascii="Arial" w:hAnsi="Arial" w:cs="Arial"/>
        <w:noProof/>
        <w:sz w:val="22"/>
        <w:szCs w:val="22"/>
      </w:rPr>
      <w:t>7</w:t>
    </w:r>
    <w:r w:rsidRPr="00FC1194">
      <w:rPr>
        <w:rFonts w:ascii="Arial" w:hAnsi="Arial" w:cs="Arial"/>
        <w:sz w:val="22"/>
        <w:szCs w:val="22"/>
      </w:rPr>
      <w:fldChar w:fldCharType="end"/>
    </w:r>
  </w:p>
  <w:p w:rsidR="00896E8F" w:rsidRDefault="00896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E8F" w:rsidRDefault="00896E8F">
      <w:r>
        <w:separator/>
      </w:r>
    </w:p>
  </w:footnote>
  <w:footnote w:type="continuationSeparator" w:id="1">
    <w:p w:rsidR="00896E8F" w:rsidRDefault="00896E8F">
      <w:r>
        <w:continuationSeparator/>
      </w:r>
    </w:p>
  </w:footnote>
  <w:footnote w:id="2">
    <w:p w:rsidR="001A03B5" w:rsidRPr="00E269F2" w:rsidRDefault="001A03B5" w:rsidP="001A03B5">
      <w:pPr>
        <w:jc w:val="both"/>
        <w:rPr>
          <w:rFonts w:ascii="Calibri" w:hAnsi="Calibri" w:cs="Calibri"/>
          <w:sz w:val="20"/>
        </w:rPr>
      </w:pPr>
      <w:r w:rsidRPr="00E269F2">
        <w:rPr>
          <w:rStyle w:val="FootnoteReference"/>
          <w:rFonts w:ascii="Calibri" w:hAnsi="Calibri" w:cs="Calibri"/>
          <w:sz w:val="20"/>
        </w:rPr>
        <w:footnoteRef/>
      </w:r>
      <w:r w:rsidRPr="00E269F2">
        <w:rPr>
          <w:rStyle w:val="FootnoteReference"/>
          <w:rFonts w:ascii="Calibri" w:hAnsi="Calibri" w:cs="Calibri"/>
          <w:sz w:val="20"/>
        </w:rPr>
        <w:t xml:space="preserve"> </w:t>
      </w:r>
      <w:hyperlink>
        <w:r w:rsidRPr="00E269F2">
          <w:rPr>
            <w:rStyle w:val="InternetLink"/>
            <w:rFonts w:ascii="Calibri" w:eastAsia="Times New Roman" w:hAnsi="Calibri" w:cs="Calibri"/>
            <w:color w:val="000000"/>
            <w:sz w:val="20"/>
            <w:lang w:eastAsia="en-GB"/>
          </w:rPr>
          <w:t>Deans EG</w:t>
        </w:r>
      </w:hyperlink>
      <w:r w:rsidRPr="00E269F2">
        <w:rPr>
          <w:rFonts w:ascii="Calibri" w:eastAsia="Times New Roman" w:hAnsi="Calibri" w:cs="Calibri"/>
          <w:color w:val="000000"/>
          <w:sz w:val="20"/>
          <w:lang w:eastAsia="en-GB"/>
        </w:rPr>
        <w:t xml:space="preserve">, </w:t>
      </w:r>
      <w:hyperlink>
        <w:r w:rsidRPr="00E269F2">
          <w:rPr>
            <w:rStyle w:val="InternetLink"/>
            <w:rFonts w:ascii="Calibri" w:eastAsia="Times New Roman" w:hAnsi="Calibri" w:cs="Calibri"/>
            <w:color w:val="000000"/>
            <w:sz w:val="20"/>
            <w:lang w:eastAsia="en-GB"/>
          </w:rPr>
          <w:t>Thomas SL</w:t>
        </w:r>
      </w:hyperlink>
      <w:r w:rsidRPr="00E269F2">
        <w:rPr>
          <w:rFonts w:ascii="Calibri" w:eastAsia="Times New Roman" w:hAnsi="Calibri" w:cs="Calibri"/>
          <w:color w:val="000000"/>
          <w:sz w:val="20"/>
          <w:lang w:eastAsia="en-GB"/>
        </w:rPr>
        <w:t xml:space="preserve">, </w:t>
      </w:r>
      <w:hyperlink>
        <w:r w:rsidRPr="00E269F2">
          <w:rPr>
            <w:rStyle w:val="InternetLink"/>
            <w:rFonts w:ascii="Calibri" w:eastAsia="Times New Roman" w:hAnsi="Calibri" w:cs="Calibri"/>
            <w:color w:val="000000"/>
            <w:sz w:val="20"/>
            <w:lang w:eastAsia="en-GB"/>
          </w:rPr>
          <w:t>Derevensky J</w:t>
        </w:r>
      </w:hyperlink>
      <w:r w:rsidRPr="00E269F2">
        <w:rPr>
          <w:rFonts w:ascii="Calibri" w:eastAsia="Times New Roman" w:hAnsi="Calibri" w:cs="Calibri"/>
          <w:color w:val="000000"/>
          <w:sz w:val="20"/>
          <w:lang w:eastAsia="en-GB"/>
        </w:rPr>
        <w:t xml:space="preserve">, </w:t>
      </w:r>
      <w:hyperlink>
        <w:r w:rsidRPr="00E269F2">
          <w:rPr>
            <w:rStyle w:val="InternetLink"/>
            <w:rFonts w:ascii="Calibri" w:eastAsia="Times New Roman" w:hAnsi="Calibri" w:cs="Calibri"/>
            <w:color w:val="000000"/>
            <w:sz w:val="20"/>
            <w:lang w:eastAsia="en-GB"/>
          </w:rPr>
          <w:t>Daube M</w:t>
        </w:r>
      </w:hyperlink>
      <w:r w:rsidRPr="00E269F2">
        <w:rPr>
          <w:rFonts w:ascii="Calibri" w:hAnsi="Calibri" w:cs="Calibri"/>
          <w:color w:val="000000"/>
          <w:sz w:val="20"/>
        </w:rPr>
        <w:t>,</w:t>
      </w:r>
      <w:r w:rsidRPr="00E269F2">
        <w:rPr>
          <w:rFonts w:ascii="Calibri" w:hAnsi="Calibri" w:cs="Calibri"/>
          <w:sz w:val="20"/>
        </w:rPr>
        <w:t xml:space="preserve"> </w:t>
      </w:r>
      <w:r w:rsidRPr="00E269F2">
        <w:rPr>
          <w:rFonts w:ascii="Calibri" w:eastAsia="Times New Roman" w:hAnsi="Calibri" w:cs="Calibri"/>
          <w:bCs/>
          <w:kern w:val="2"/>
          <w:sz w:val="20"/>
          <w:lang w:eastAsia="en-GB"/>
        </w:rPr>
        <w:t>‘</w:t>
      </w:r>
      <w:r w:rsidRPr="00E269F2">
        <w:rPr>
          <w:rFonts w:ascii="Calibri" w:eastAsia="Times New Roman" w:hAnsi="Calibri" w:cs="Calibri"/>
          <w:bCs/>
          <w:i/>
          <w:kern w:val="2"/>
          <w:sz w:val="20"/>
          <w:lang w:eastAsia="en-GB"/>
        </w:rPr>
        <w:t>The influence of marketing on the sports betting attitudes and consumption behaviours of young men: implications for harm reduction and prevention strategies’</w:t>
      </w:r>
      <w:r w:rsidRPr="00E269F2">
        <w:rPr>
          <w:rFonts w:ascii="Calibri" w:eastAsia="Times New Roman" w:hAnsi="Calibri" w:cs="Calibri"/>
          <w:bCs/>
          <w:kern w:val="2"/>
          <w:sz w:val="20"/>
          <w:lang w:eastAsia="en-GB"/>
        </w:rPr>
        <w:t xml:space="preserve">, 2017 </w:t>
      </w:r>
    </w:p>
  </w:footnote>
  <w:footnote w:id="3">
    <w:p w:rsidR="00E269F2" w:rsidRPr="003C463A" w:rsidRDefault="00E269F2" w:rsidP="00E269F2">
      <w:pPr>
        <w:jc w:val="both"/>
        <w:rPr>
          <w:sz w:val="18"/>
          <w:szCs w:val="18"/>
        </w:rPr>
      </w:pPr>
      <w:r w:rsidRPr="00E269F2">
        <w:rPr>
          <w:rStyle w:val="FootnoteReference"/>
          <w:rFonts w:ascii="Calibri" w:hAnsi="Calibri" w:cs="Calibri"/>
          <w:sz w:val="20"/>
        </w:rPr>
        <w:footnoteRef/>
      </w:r>
      <w:r w:rsidRPr="00E269F2">
        <w:rPr>
          <w:rStyle w:val="FootnoteReference"/>
          <w:rFonts w:ascii="Calibri" w:hAnsi="Calibri" w:cs="Calibri"/>
          <w:sz w:val="20"/>
        </w:rPr>
        <w:t xml:space="preserve">  </w:t>
      </w:r>
      <w:hyperlink>
        <w:r w:rsidRPr="00E269F2">
          <w:rPr>
            <w:rStyle w:val="InternetLink"/>
            <w:rFonts w:ascii="Calibri" w:hAnsi="Calibri" w:cs="Calibri"/>
            <w:color w:val="000000"/>
            <w:sz w:val="20"/>
            <w:lang w:eastAsia="en-GB"/>
          </w:rPr>
          <w:t>Pitt H</w:t>
        </w:r>
      </w:hyperlink>
      <w:r w:rsidRPr="00E269F2">
        <w:rPr>
          <w:rFonts w:ascii="Calibri" w:hAnsi="Calibri" w:cs="Calibri"/>
          <w:color w:val="000000"/>
          <w:sz w:val="20"/>
          <w:lang w:eastAsia="en-GB"/>
        </w:rPr>
        <w:t xml:space="preserve">, </w:t>
      </w:r>
      <w:hyperlink>
        <w:r w:rsidRPr="00E269F2">
          <w:rPr>
            <w:rStyle w:val="InternetLink"/>
            <w:rFonts w:ascii="Calibri" w:hAnsi="Calibri" w:cs="Calibri"/>
            <w:color w:val="000000"/>
            <w:sz w:val="20"/>
            <w:lang w:eastAsia="en-GB"/>
          </w:rPr>
          <w:t>Thomas SL</w:t>
        </w:r>
      </w:hyperlink>
      <w:r w:rsidRPr="00E269F2">
        <w:rPr>
          <w:rFonts w:ascii="Calibri" w:hAnsi="Calibri" w:cs="Calibri"/>
          <w:color w:val="000000"/>
          <w:sz w:val="20"/>
          <w:lang w:eastAsia="en-GB"/>
        </w:rPr>
        <w:t xml:space="preserve">, </w:t>
      </w:r>
      <w:hyperlink>
        <w:r w:rsidRPr="00E269F2">
          <w:rPr>
            <w:rStyle w:val="InternetLink"/>
            <w:rFonts w:ascii="Calibri" w:hAnsi="Calibri" w:cs="Calibri"/>
            <w:color w:val="000000"/>
            <w:sz w:val="20"/>
            <w:lang w:eastAsia="en-GB"/>
          </w:rPr>
          <w:t>Bestman A</w:t>
        </w:r>
      </w:hyperlink>
      <w:r w:rsidRPr="00E269F2">
        <w:rPr>
          <w:rFonts w:ascii="Calibri" w:hAnsi="Calibri" w:cs="Calibri"/>
          <w:color w:val="000000"/>
          <w:sz w:val="20"/>
          <w:lang w:eastAsia="en-GB"/>
        </w:rPr>
        <w:t xml:space="preserve">, </w:t>
      </w:r>
      <w:hyperlink>
        <w:r w:rsidRPr="00E269F2">
          <w:rPr>
            <w:rStyle w:val="InternetLink"/>
            <w:rFonts w:ascii="Calibri" w:hAnsi="Calibri" w:cs="Calibri"/>
            <w:color w:val="000000"/>
            <w:sz w:val="20"/>
            <w:lang w:eastAsia="en-GB"/>
          </w:rPr>
          <w:t>Daube M</w:t>
        </w:r>
      </w:hyperlink>
      <w:r w:rsidRPr="00E269F2">
        <w:rPr>
          <w:rFonts w:ascii="Calibri" w:hAnsi="Calibri" w:cs="Calibri"/>
          <w:color w:val="000000"/>
          <w:sz w:val="20"/>
          <w:lang w:eastAsia="en-GB"/>
        </w:rPr>
        <w:t xml:space="preserve">, </w:t>
      </w:r>
      <w:hyperlink>
        <w:r w:rsidRPr="00E269F2">
          <w:rPr>
            <w:rStyle w:val="InternetLink"/>
            <w:rFonts w:ascii="Calibri" w:hAnsi="Calibri" w:cs="Calibri"/>
            <w:color w:val="000000"/>
            <w:sz w:val="20"/>
            <w:lang w:eastAsia="en-GB"/>
          </w:rPr>
          <w:t>Derevensky J</w:t>
        </w:r>
      </w:hyperlink>
      <w:r w:rsidRPr="00E269F2">
        <w:rPr>
          <w:rFonts w:ascii="Calibri" w:hAnsi="Calibri" w:cs="Calibri"/>
          <w:color w:val="000000"/>
          <w:sz w:val="20"/>
          <w:lang w:eastAsia="en-GB"/>
        </w:rPr>
        <w:t>.,</w:t>
      </w:r>
      <w:r w:rsidRPr="00E269F2">
        <w:rPr>
          <w:rFonts w:ascii="Calibri" w:eastAsia="Times New Roman" w:hAnsi="Calibri" w:cs="Calibri"/>
          <w:sz w:val="20"/>
          <w:lang w:eastAsia="en-GB"/>
        </w:rPr>
        <w:t xml:space="preserve"> </w:t>
      </w:r>
      <w:r w:rsidRPr="00E269F2">
        <w:rPr>
          <w:rFonts w:ascii="Calibri" w:eastAsia="Times New Roman" w:hAnsi="Calibri" w:cs="Calibri"/>
          <w:bCs/>
          <w:i/>
          <w:kern w:val="2"/>
          <w:sz w:val="20"/>
          <w:lang w:eastAsia="en-GB"/>
        </w:rPr>
        <w:t xml:space="preserve">Factors that influence children's gambling attitudes and consumption intentions: lessons for gambling harm prevention research, policies and advocacy strategies, </w:t>
      </w:r>
      <w:r w:rsidRPr="00E269F2">
        <w:rPr>
          <w:rFonts w:ascii="Calibri" w:eastAsia="Times New Roman" w:hAnsi="Calibri" w:cs="Calibri"/>
          <w:bCs/>
          <w:kern w:val="2"/>
          <w:sz w:val="20"/>
          <w:lang w:eastAsia="en-GB"/>
        </w:rPr>
        <w:t>2017</w:t>
      </w:r>
    </w:p>
  </w:footnote>
  <w:footnote w:id="4">
    <w:p w:rsidR="006D4E24" w:rsidRPr="005C17C5" w:rsidRDefault="006D4E24" w:rsidP="006D4E24">
      <w:pPr>
        <w:pStyle w:val="FootnoteText"/>
        <w:rPr>
          <w:rFonts w:ascii="Calibri" w:hAnsi="Calibri" w:cs="Calibri"/>
        </w:rPr>
      </w:pPr>
      <w:r w:rsidRPr="005C17C5">
        <w:rPr>
          <w:rStyle w:val="FootnoteReference"/>
          <w:rFonts w:ascii="Calibri" w:hAnsi="Calibri" w:cs="Calibri"/>
        </w:rPr>
        <w:footnoteRef/>
      </w:r>
      <w:r w:rsidRPr="005C17C5">
        <w:rPr>
          <w:rStyle w:val="FootnoteReference"/>
          <w:rFonts w:ascii="Calibri" w:hAnsi="Calibri" w:cs="Calibri"/>
        </w:rPr>
        <w:t xml:space="preserve">  </w:t>
      </w:r>
      <w:r w:rsidRPr="005C17C5">
        <w:rPr>
          <w:rFonts w:ascii="Calibri" w:hAnsi="Calibri" w:cs="Calibri"/>
        </w:rPr>
        <w:t>Hing, Cherney et al., 2014</w:t>
      </w:r>
    </w:p>
  </w:footnote>
  <w:footnote w:id="5">
    <w:p w:rsidR="006D4E24" w:rsidRPr="005C17C5" w:rsidRDefault="006D4E24" w:rsidP="006D4E24">
      <w:pPr>
        <w:pStyle w:val="FootnoteText"/>
        <w:rPr>
          <w:rFonts w:ascii="Calibri" w:hAnsi="Calibri" w:cs="Calibri"/>
        </w:rPr>
      </w:pPr>
      <w:r w:rsidRPr="005C17C5">
        <w:rPr>
          <w:rStyle w:val="FootnoteReference"/>
          <w:rFonts w:ascii="Calibri" w:hAnsi="Calibri" w:cs="Calibri"/>
        </w:rPr>
        <w:footnoteRef/>
      </w:r>
      <w:r w:rsidRPr="005C17C5">
        <w:rPr>
          <w:rStyle w:val="FootnoteReference"/>
          <w:rFonts w:ascii="Calibri" w:hAnsi="Calibri" w:cs="Calibri"/>
        </w:rPr>
        <w:t xml:space="preserve">  </w:t>
      </w:r>
      <w:r w:rsidRPr="005C17C5">
        <w:rPr>
          <w:rFonts w:ascii="Calibri" w:hAnsi="Calibri" w:cs="Calibri"/>
        </w:rPr>
        <w:t>Amey, 2001; Korn, Hurson et al., 2005; Korn, Reynolds et al., 2005</w:t>
      </w:r>
    </w:p>
  </w:footnote>
  <w:footnote w:id="6">
    <w:p w:rsidR="006D4E24" w:rsidRPr="005C17C5" w:rsidRDefault="006D4E24" w:rsidP="006D4E24">
      <w:pPr>
        <w:pStyle w:val="FootnoteText"/>
        <w:rPr>
          <w:rFonts w:ascii="Calibri" w:hAnsi="Calibri" w:cs="Calibri"/>
        </w:rPr>
      </w:pPr>
      <w:r w:rsidRPr="005C17C5">
        <w:rPr>
          <w:rStyle w:val="FootnoteReference"/>
          <w:rFonts w:ascii="Calibri" w:hAnsi="Calibri" w:cs="Calibri"/>
        </w:rPr>
        <w:footnoteRef/>
      </w:r>
      <w:r w:rsidRPr="005C17C5">
        <w:rPr>
          <w:rStyle w:val="FootnoteReference"/>
          <w:rFonts w:ascii="Calibri" w:hAnsi="Calibri" w:cs="Calibri"/>
        </w:rPr>
        <w:t xml:space="preserve">  </w:t>
      </w:r>
      <w:r w:rsidRPr="005C17C5">
        <w:rPr>
          <w:rFonts w:ascii="Calibri" w:hAnsi="Calibri" w:cs="Calibri"/>
        </w:rPr>
        <w:t>Derevensky et al., 2007; Korn, Hurson et al., 2005; Korn, Reynolds et al., 2005</w:t>
      </w:r>
    </w:p>
  </w:footnote>
  <w:footnote w:id="7">
    <w:p w:rsidR="006D4E24" w:rsidRDefault="006D4E24" w:rsidP="006D4E24">
      <w:pPr>
        <w:pStyle w:val="FootnoteText"/>
      </w:pPr>
      <w:r w:rsidRPr="005C17C5">
        <w:rPr>
          <w:rStyle w:val="FootnoteReference"/>
          <w:rFonts w:ascii="Calibri" w:hAnsi="Calibri" w:cs="Calibri"/>
        </w:rPr>
        <w:footnoteRef/>
      </w:r>
      <w:r w:rsidRPr="005C17C5">
        <w:rPr>
          <w:rFonts w:ascii="Calibri" w:hAnsi="Calibri" w:cs="Calibri"/>
        </w:rPr>
        <w:t xml:space="preserve"> </w:t>
      </w:r>
      <w:hyperlink r:id="rId1" w:history="1">
        <w:r w:rsidRPr="005C17C5">
          <w:rPr>
            <w:rStyle w:val="Hyperlink"/>
            <w:rFonts w:ascii="Calibri" w:hAnsi="Calibri" w:cs="Calibri"/>
          </w:rPr>
          <w:t>www.williamhillplc.com/media/11914/wmh-half-year-results-statement-020817.pdf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838"/>
    <w:multiLevelType w:val="hybridMultilevel"/>
    <w:tmpl w:val="26C264DA"/>
    <w:lvl w:ilvl="0" w:tplc="5AA03906">
      <w:start w:val="1"/>
      <w:numFmt w:val="bullet"/>
      <w:lvlText w:val=""/>
      <w:lvlJc w:val="left"/>
      <w:pPr>
        <w:tabs>
          <w:tab w:val="num" w:pos="1080"/>
        </w:tabs>
        <w:ind w:left="1080" w:hanging="360"/>
      </w:pPr>
      <w:rPr>
        <w:rFonts w:ascii="Symbol" w:hAnsi="Symbol" w:hint="default"/>
        <w:color w:val="1996B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54452"/>
    <w:multiLevelType w:val="multilevel"/>
    <w:tmpl w:val="5DFE64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EE12DB"/>
    <w:multiLevelType w:val="multilevel"/>
    <w:tmpl w:val="959AB582"/>
    <w:lvl w:ilvl="0">
      <w:start w:val="1"/>
      <w:numFmt w:val="bullet"/>
      <w:lvlText w:val=""/>
      <w:lvlJc w:val="left"/>
      <w:pPr>
        <w:tabs>
          <w:tab w:val="num" w:pos="720"/>
        </w:tabs>
        <w:ind w:left="720" w:firstLine="0"/>
      </w:pPr>
      <w:rPr>
        <w:rFonts w:ascii="Symbol" w:hAnsi="Symbol" w:hint="default"/>
        <w:color w:val="1996B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DC1070"/>
    <w:multiLevelType w:val="hybridMultilevel"/>
    <w:tmpl w:val="91085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541615"/>
    <w:multiLevelType w:val="hybridMultilevel"/>
    <w:tmpl w:val="99B08F34"/>
    <w:lvl w:ilvl="0" w:tplc="7644A0CC">
      <w:start w:val="1"/>
      <w:numFmt w:val="bullet"/>
      <w:lvlText w:val=""/>
      <w:lvlJc w:val="left"/>
      <w:pPr>
        <w:tabs>
          <w:tab w:val="num" w:pos="1080"/>
        </w:tabs>
        <w:ind w:left="1080" w:hanging="360"/>
      </w:pPr>
      <w:rPr>
        <w:rFonts w:ascii="Symbol" w:hAnsi="Symbol" w:hint="default"/>
        <w:color w:val="1996B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8E7376"/>
    <w:multiLevelType w:val="multilevel"/>
    <w:tmpl w:val="4C641A1E"/>
    <w:lvl w:ilvl="0">
      <w:start w:val="1"/>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b/>
        <w:color w:val="FF66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621CBD"/>
    <w:multiLevelType w:val="hybridMultilevel"/>
    <w:tmpl w:val="62A8658C"/>
    <w:lvl w:ilvl="0" w:tplc="03320F48">
      <w:start w:val="1"/>
      <w:numFmt w:val="bullet"/>
      <w:lvlText w:val=""/>
      <w:lvlJc w:val="left"/>
      <w:pPr>
        <w:tabs>
          <w:tab w:val="num" w:pos="1080"/>
        </w:tabs>
        <w:ind w:left="1080" w:hanging="360"/>
      </w:pPr>
      <w:rPr>
        <w:rFonts w:ascii="Symbol" w:hAnsi="Symbol" w:hint="default"/>
        <w:color w:val="82107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D50E67"/>
    <w:multiLevelType w:val="hybridMultilevel"/>
    <w:tmpl w:val="5D1A03E2"/>
    <w:lvl w:ilvl="0" w:tplc="36EC8784">
      <w:start w:val="1"/>
      <w:numFmt w:val="bullet"/>
      <w:lvlText w:val=""/>
      <w:lvlJc w:val="left"/>
      <w:pPr>
        <w:tabs>
          <w:tab w:val="num" w:pos="1440"/>
        </w:tabs>
        <w:ind w:left="1440" w:hanging="360"/>
      </w:pPr>
      <w:rPr>
        <w:rFonts w:ascii="Symbol" w:hAnsi="Symbol" w:hint="default"/>
        <w:color w:val="FF66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0C3665"/>
    <w:multiLevelType w:val="hybridMultilevel"/>
    <w:tmpl w:val="07C2D9F8"/>
    <w:lvl w:ilvl="0" w:tplc="36EC8784">
      <w:start w:val="1"/>
      <w:numFmt w:val="bullet"/>
      <w:lvlText w:val=""/>
      <w:lvlJc w:val="left"/>
      <w:pPr>
        <w:tabs>
          <w:tab w:val="num" w:pos="1440"/>
        </w:tabs>
        <w:ind w:left="1440" w:hanging="360"/>
      </w:pPr>
      <w:rPr>
        <w:rFonts w:ascii="Symbol" w:hAnsi="Symbol" w:hint="default"/>
        <w:color w:val="FF66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44050C"/>
    <w:multiLevelType w:val="hybridMultilevel"/>
    <w:tmpl w:val="959AB582"/>
    <w:lvl w:ilvl="0" w:tplc="487C0AC6">
      <w:start w:val="1"/>
      <w:numFmt w:val="bullet"/>
      <w:lvlText w:val=""/>
      <w:lvlJc w:val="left"/>
      <w:pPr>
        <w:tabs>
          <w:tab w:val="num" w:pos="720"/>
        </w:tabs>
        <w:ind w:left="720" w:firstLine="0"/>
      </w:pPr>
      <w:rPr>
        <w:rFonts w:ascii="Symbol" w:hAnsi="Symbol" w:hint="default"/>
        <w:color w:val="1996B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C86BF4"/>
    <w:multiLevelType w:val="multilevel"/>
    <w:tmpl w:val="DC82E3C0"/>
    <w:lvl w:ilvl="0">
      <w:start w:val="1"/>
      <w:numFmt w:val="bullet"/>
      <w:lvlText w:val=""/>
      <w:lvlJc w:val="left"/>
      <w:pPr>
        <w:tabs>
          <w:tab w:val="num" w:pos="1440"/>
        </w:tabs>
        <w:ind w:left="144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540E97"/>
    <w:multiLevelType w:val="multilevel"/>
    <w:tmpl w:val="B2420764"/>
    <w:lvl w:ilvl="0">
      <w:start w:val="5"/>
      <w:numFmt w:val="decimal"/>
      <w:lvlText w:val="%1"/>
      <w:lvlJc w:val="left"/>
      <w:pPr>
        <w:tabs>
          <w:tab w:val="num" w:pos="360"/>
        </w:tabs>
        <w:ind w:left="360" w:hanging="360"/>
      </w:pPr>
      <w:rPr>
        <w:rFonts w:hint="default"/>
        <w:b/>
        <w:color w:val="1996B4"/>
      </w:rPr>
    </w:lvl>
    <w:lvl w:ilvl="1">
      <w:start w:val="5"/>
      <w:numFmt w:val="decimal"/>
      <w:lvlText w:val="%1.%2"/>
      <w:lvlJc w:val="left"/>
      <w:pPr>
        <w:tabs>
          <w:tab w:val="num" w:pos="360"/>
        </w:tabs>
        <w:ind w:left="360" w:hanging="360"/>
      </w:pPr>
      <w:rPr>
        <w:rFonts w:hint="default"/>
        <w:b/>
        <w:color w:val="1996B4"/>
      </w:rPr>
    </w:lvl>
    <w:lvl w:ilvl="2">
      <w:start w:val="1"/>
      <w:numFmt w:val="decimal"/>
      <w:lvlText w:val="%1.%2.%3"/>
      <w:lvlJc w:val="left"/>
      <w:pPr>
        <w:tabs>
          <w:tab w:val="num" w:pos="720"/>
        </w:tabs>
        <w:ind w:left="720" w:hanging="720"/>
      </w:pPr>
      <w:rPr>
        <w:rFonts w:hint="default"/>
        <w:b/>
        <w:color w:val="1996B4"/>
      </w:rPr>
    </w:lvl>
    <w:lvl w:ilvl="3">
      <w:start w:val="1"/>
      <w:numFmt w:val="decimal"/>
      <w:lvlText w:val="%1.%2.%3.%4"/>
      <w:lvlJc w:val="left"/>
      <w:pPr>
        <w:tabs>
          <w:tab w:val="num" w:pos="720"/>
        </w:tabs>
        <w:ind w:left="720" w:hanging="720"/>
      </w:pPr>
      <w:rPr>
        <w:rFonts w:hint="default"/>
        <w:b/>
        <w:color w:val="1996B4"/>
      </w:rPr>
    </w:lvl>
    <w:lvl w:ilvl="4">
      <w:start w:val="1"/>
      <w:numFmt w:val="decimal"/>
      <w:lvlText w:val="%1.%2.%3.%4.%5"/>
      <w:lvlJc w:val="left"/>
      <w:pPr>
        <w:tabs>
          <w:tab w:val="num" w:pos="1080"/>
        </w:tabs>
        <w:ind w:left="1080" w:hanging="1080"/>
      </w:pPr>
      <w:rPr>
        <w:rFonts w:hint="default"/>
        <w:b/>
        <w:color w:val="1996B4"/>
      </w:rPr>
    </w:lvl>
    <w:lvl w:ilvl="5">
      <w:start w:val="1"/>
      <w:numFmt w:val="decimal"/>
      <w:lvlText w:val="%1.%2.%3.%4.%5.%6"/>
      <w:lvlJc w:val="left"/>
      <w:pPr>
        <w:tabs>
          <w:tab w:val="num" w:pos="1080"/>
        </w:tabs>
        <w:ind w:left="1080" w:hanging="1080"/>
      </w:pPr>
      <w:rPr>
        <w:rFonts w:hint="default"/>
        <w:b/>
        <w:color w:val="1996B4"/>
      </w:rPr>
    </w:lvl>
    <w:lvl w:ilvl="6">
      <w:start w:val="1"/>
      <w:numFmt w:val="decimal"/>
      <w:lvlText w:val="%1.%2.%3.%4.%5.%6.%7"/>
      <w:lvlJc w:val="left"/>
      <w:pPr>
        <w:tabs>
          <w:tab w:val="num" w:pos="1440"/>
        </w:tabs>
        <w:ind w:left="1440" w:hanging="1440"/>
      </w:pPr>
      <w:rPr>
        <w:rFonts w:hint="default"/>
        <w:b/>
        <w:color w:val="1996B4"/>
      </w:rPr>
    </w:lvl>
    <w:lvl w:ilvl="7">
      <w:start w:val="1"/>
      <w:numFmt w:val="decimal"/>
      <w:lvlText w:val="%1.%2.%3.%4.%5.%6.%7.%8"/>
      <w:lvlJc w:val="left"/>
      <w:pPr>
        <w:tabs>
          <w:tab w:val="num" w:pos="1440"/>
        </w:tabs>
        <w:ind w:left="1440" w:hanging="1440"/>
      </w:pPr>
      <w:rPr>
        <w:rFonts w:hint="default"/>
        <w:b/>
        <w:color w:val="1996B4"/>
      </w:rPr>
    </w:lvl>
    <w:lvl w:ilvl="8">
      <w:start w:val="1"/>
      <w:numFmt w:val="decimal"/>
      <w:lvlText w:val="%1.%2.%3.%4.%5.%6.%7.%8.%9"/>
      <w:lvlJc w:val="left"/>
      <w:pPr>
        <w:tabs>
          <w:tab w:val="num" w:pos="1800"/>
        </w:tabs>
        <w:ind w:left="1800" w:hanging="1800"/>
      </w:pPr>
      <w:rPr>
        <w:rFonts w:hint="default"/>
        <w:b/>
        <w:color w:val="1996B4"/>
      </w:rPr>
    </w:lvl>
  </w:abstractNum>
  <w:abstractNum w:abstractNumId="12">
    <w:nsid w:val="49987D6B"/>
    <w:multiLevelType w:val="hybridMultilevel"/>
    <w:tmpl w:val="8662FF4E"/>
    <w:lvl w:ilvl="0" w:tplc="018210CC">
      <w:start w:val="1"/>
      <w:numFmt w:val="bullet"/>
      <w:lvlText w:val=""/>
      <w:lvlJc w:val="left"/>
      <w:pPr>
        <w:tabs>
          <w:tab w:val="num" w:pos="1080"/>
        </w:tabs>
        <w:ind w:left="1080" w:hanging="360"/>
      </w:pPr>
      <w:rPr>
        <w:rFonts w:ascii="Symbol" w:hAnsi="Symbol" w:hint="default"/>
        <w:color w:val="61AF2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8B3AF1"/>
    <w:multiLevelType w:val="hybridMultilevel"/>
    <w:tmpl w:val="DC82E3C0"/>
    <w:lvl w:ilvl="0" w:tplc="8D94FB50">
      <w:start w:val="1"/>
      <w:numFmt w:val="bullet"/>
      <w:lvlText w:val=""/>
      <w:lvlJc w:val="left"/>
      <w:pPr>
        <w:tabs>
          <w:tab w:val="num" w:pos="1440"/>
        </w:tabs>
        <w:ind w:left="144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5A866E6"/>
    <w:multiLevelType w:val="hybridMultilevel"/>
    <w:tmpl w:val="ADA6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ED35C3"/>
    <w:multiLevelType w:val="multilevel"/>
    <w:tmpl w:val="C36694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color w:val="FF66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89A518D"/>
    <w:multiLevelType w:val="multilevel"/>
    <w:tmpl w:val="62A8658C"/>
    <w:lvl w:ilvl="0">
      <w:start w:val="1"/>
      <w:numFmt w:val="bullet"/>
      <w:lvlText w:val=""/>
      <w:lvlJc w:val="left"/>
      <w:pPr>
        <w:tabs>
          <w:tab w:val="num" w:pos="1080"/>
        </w:tabs>
        <w:ind w:left="1080" w:hanging="360"/>
      </w:pPr>
      <w:rPr>
        <w:rFonts w:ascii="Symbol" w:hAnsi="Symbol" w:hint="default"/>
        <w:color w:val="82107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D92D52"/>
    <w:multiLevelType w:val="multilevel"/>
    <w:tmpl w:val="D3B20B66"/>
    <w:lvl w:ilvl="0">
      <w:start w:val="1"/>
      <w:numFmt w:val="bullet"/>
      <w:lvlText w:val=""/>
      <w:lvlJc w:val="left"/>
      <w:pPr>
        <w:tabs>
          <w:tab w:val="num" w:pos="1080"/>
        </w:tabs>
        <w:ind w:left="108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EAB1100"/>
    <w:multiLevelType w:val="multilevel"/>
    <w:tmpl w:val="8662FF4E"/>
    <w:lvl w:ilvl="0">
      <w:start w:val="1"/>
      <w:numFmt w:val="bullet"/>
      <w:lvlText w:val=""/>
      <w:lvlJc w:val="left"/>
      <w:pPr>
        <w:tabs>
          <w:tab w:val="num" w:pos="1080"/>
        </w:tabs>
        <w:ind w:left="1080" w:hanging="360"/>
      </w:pPr>
      <w:rPr>
        <w:rFonts w:ascii="Symbol" w:hAnsi="Symbol" w:hint="default"/>
        <w:color w:val="61AF2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1217E83"/>
    <w:multiLevelType w:val="multilevel"/>
    <w:tmpl w:val="8A96FE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1D85FBD"/>
    <w:multiLevelType w:val="hybridMultilevel"/>
    <w:tmpl w:val="55F64426"/>
    <w:lvl w:ilvl="0" w:tplc="37008BA8">
      <w:start w:val="1"/>
      <w:numFmt w:val="bullet"/>
      <w:lvlText w:val=""/>
      <w:lvlJc w:val="left"/>
      <w:pPr>
        <w:tabs>
          <w:tab w:val="num" w:pos="1080"/>
        </w:tabs>
        <w:ind w:left="1080" w:hanging="360"/>
      </w:pPr>
      <w:rPr>
        <w:rFonts w:ascii="Symbol" w:hAnsi="Symbol" w:hint="default"/>
        <w:color w:val="61AF2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2373187"/>
    <w:multiLevelType w:val="multilevel"/>
    <w:tmpl w:val="58A2D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3D36B42"/>
    <w:multiLevelType w:val="hybridMultilevel"/>
    <w:tmpl w:val="0AD25D86"/>
    <w:lvl w:ilvl="0" w:tplc="A85C7EE6">
      <w:start w:val="1"/>
      <w:numFmt w:val="bullet"/>
      <w:lvlText w:val=""/>
      <w:lvlJc w:val="left"/>
      <w:pPr>
        <w:tabs>
          <w:tab w:val="num" w:pos="1080"/>
        </w:tabs>
        <w:ind w:left="108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CD5664F"/>
    <w:multiLevelType w:val="hybridMultilevel"/>
    <w:tmpl w:val="58A2D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140EE0"/>
    <w:multiLevelType w:val="multilevel"/>
    <w:tmpl w:val="99B08F34"/>
    <w:lvl w:ilvl="0">
      <w:start w:val="1"/>
      <w:numFmt w:val="bullet"/>
      <w:lvlText w:val=""/>
      <w:lvlJc w:val="left"/>
      <w:pPr>
        <w:tabs>
          <w:tab w:val="num" w:pos="1080"/>
        </w:tabs>
        <w:ind w:left="1080" w:hanging="360"/>
      </w:pPr>
      <w:rPr>
        <w:rFonts w:ascii="Symbol" w:hAnsi="Symbol" w:hint="default"/>
        <w:color w:val="1996B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FA722A5"/>
    <w:multiLevelType w:val="multilevel"/>
    <w:tmpl w:val="B1F452D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FB4DE7"/>
    <w:multiLevelType w:val="hybridMultilevel"/>
    <w:tmpl w:val="D3B20B66"/>
    <w:lvl w:ilvl="0" w:tplc="A85C7EE6">
      <w:start w:val="1"/>
      <w:numFmt w:val="bullet"/>
      <w:lvlText w:val=""/>
      <w:lvlJc w:val="left"/>
      <w:pPr>
        <w:tabs>
          <w:tab w:val="num" w:pos="1080"/>
        </w:tabs>
        <w:ind w:left="108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9"/>
  </w:num>
  <w:num w:numId="4">
    <w:abstractNumId w:val="19"/>
  </w:num>
  <w:num w:numId="5">
    <w:abstractNumId w:val="1"/>
  </w:num>
  <w:num w:numId="6">
    <w:abstractNumId w:val="25"/>
  </w:num>
  <w:num w:numId="7">
    <w:abstractNumId w:val="11"/>
  </w:num>
  <w:num w:numId="8">
    <w:abstractNumId w:val="2"/>
  </w:num>
  <w:num w:numId="9">
    <w:abstractNumId w:val="0"/>
  </w:num>
  <w:num w:numId="10">
    <w:abstractNumId w:val="3"/>
  </w:num>
  <w:num w:numId="11">
    <w:abstractNumId w:val="6"/>
  </w:num>
  <w:num w:numId="12">
    <w:abstractNumId w:val="16"/>
  </w:num>
  <w:num w:numId="13">
    <w:abstractNumId w:val="20"/>
  </w:num>
  <w:num w:numId="14">
    <w:abstractNumId w:val="4"/>
  </w:num>
  <w:num w:numId="15">
    <w:abstractNumId w:val="24"/>
  </w:num>
  <w:num w:numId="16">
    <w:abstractNumId w:val="12"/>
  </w:num>
  <w:num w:numId="17">
    <w:abstractNumId w:val="18"/>
  </w:num>
  <w:num w:numId="18">
    <w:abstractNumId w:val="22"/>
  </w:num>
  <w:num w:numId="19">
    <w:abstractNumId w:val="26"/>
  </w:num>
  <w:num w:numId="20">
    <w:abstractNumId w:val="17"/>
  </w:num>
  <w:num w:numId="21">
    <w:abstractNumId w:val="13"/>
  </w:num>
  <w:num w:numId="22">
    <w:abstractNumId w:val="7"/>
  </w:num>
  <w:num w:numId="23">
    <w:abstractNumId w:val="10"/>
  </w:num>
  <w:num w:numId="24">
    <w:abstractNumId w:val="8"/>
  </w:num>
  <w:num w:numId="25">
    <w:abstractNumId w:val="5"/>
  </w:num>
  <w:num w:numId="26">
    <w:abstractNumId w:val="15"/>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forms" w:enforcement="0"/>
  <w:defaultTabStop w:val="36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2B743A"/>
    <w:rsid w:val="000004B0"/>
    <w:rsid w:val="000146D5"/>
    <w:rsid w:val="000300EB"/>
    <w:rsid w:val="00037083"/>
    <w:rsid w:val="000508C6"/>
    <w:rsid w:val="000545C9"/>
    <w:rsid w:val="000606AB"/>
    <w:rsid w:val="000646CC"/>
    <w:rsid w:val="00067C60"/>
    <w:rsid w:val="00076FDE"/>
    <w:rsid w:val="00081852"/>
    <w:rsid w:val="000863AC"/>
    <w:rsid w:val="00086679"/>
    <w:rsid w:val="000905C2"/>
    <w:rsid w:val="00090BE4"/>
    <w:rsid w:val="000947C6"/>
    <w:rsid w:val="000B04C1"/>
    <w:rsid w:val="000C41E4"/>
    <w:rsid w:val="000C78EB"/>
    <w:rsid w:val="000E53F8"/>
    <w:rsid w:val="000E6A49"/>
    <w:rsid w:val="000E7FED"/>
    <w:rsid w:val="000F16FF"/>
    <w:rsid w:val="00106393"/>
    <w:rsid w:val="001116E5"/>
    <w:rsid w:val="00122DF6"/>
    <w:rsid w:val="001246A4"/>
    <w:rsid w:val="0013273D"/>
    <w:rsid w:val="00135929"/>
    <w:rsid w:val="00137506"/>
    <w:rsid w:val="001447C1"/>
    <w:rsid w:val="001509D3"/>
    <w:rsid w:val="00152C2D"/>
    <w:rsid w:val="00152C33"/>
    <w:rsid w:val="0015737C"/>
    <w:rsid w:val="0016644C"/>
    <w:rsid w:val="00167293"/>
    <w:rsid w:val="001701FC"/>
    <w:rsid w:val="00171CC2"/>
    <w:rsid w:val="001778F9"/>
    <w:rsid w:val="00190461"/>
    <w:rsid w:val="001923C7"/>
    <w:rsid w:val="001A03B5"/>
    <w:rsid w:val="001B386C"/>
    <w:rsid w:val="001B55B5"/>
    <w:rsid w:val="001C0729"/>
    <w:rsid w:val="001C3F57"/>
    <w:rsid w:val="001F0842"/>
    <w:rsid w:val="001F49A5"/>
    <w:rsid w:val="00203D9E"/>
    <w:rsid w:val="00206188"/>
    <w:rsid w:val="00207CA4"/>
    <w:rsid w:val="00213347"/>
    <w:rsid w:val="00220CFD"/>
    <w:rsid w:val="002319D7"/>
    <w:rsid w:val="00245724"/>
    <w:rsid w:val="00261BC8"/>
    <w:rsid w:val="0027274C"/>
    <w:rsid w:val="00274D50"/>
    <w:rsid w:val="00283E5D"/>
    <w:rsid w:val="00284DCF"/>
    <w:rsid w:val="0029629A"/>
    <w:rsid w:val="00296DC1"/>
    <w:rsid w:val="00297B19"/>
    <w:rsid w:val="002A1D6F"/>
    <w:rsid w:val="002A1F87"/>
    <w:rsid w:val="002A496E"/>
    <w:rsid w:val="002A57A9"/>
    <w:rsid w:val="002B3BDB"/>
    <w:rsid w:val="002B5257"/>
    <w:rsid w:val="002B5867"/>
    <w:rsid w:val="002B6CDA"/>
    <w:rsid w:val="002B72C2"/>
    <w:rsid w:val="002B743A"/>
    <w:rsid w:val="002D28DB"/>
    <w:rsid w:val="002D6904"/>
    <w:rsid w:val="002D70BB"/>
    <w:rsid w:val="002E1D85"/>
    <w:rsid w:val="002E1E27"/>
    <w:rsid w:val="002E6659"/>
    <w:rsid w:val="002F1CC3"/>
    <w:rsid w:val="002F27F5"/>
    <w:rsid w:val="002F3742"/>
    <w:rsid w:val="003009E1"/>
    <w:rsid w:val="00311ABE"/>
    <w:rsid w:val="00315C9F"/>
    <w:rsid w:val="00326C74"/>
    <w:rsid w:val="0033158B"/>
    <w:rsid w:val="00345995"/>
    <w:rsid w:val="00350F56"/>
    <w:rsid w:val="00356337"/>
    <w:rsid w:val="00360B22"/>
    <w:rsid w:val="00360DE3"/>
    <w:rsid w:val="00375AAD"/>
    <w:rsid w:val="003816A4"/>
    <w:rsid w:val="0038267B"/>
    <w:rsid w:val="00383FF5"/>
    <w:rsid w:val="003964A2"/>
    <w:rsid w:val="003B348C"/>
    <w:rsid w:val="003B3D38"/>
    <w:rsid w:val="003B6B6A"/>
    <w:rsid w:val="003B7938"/>
    <w:rsid w:val="003C3F01"/>
    <w:rsid w:val="003C42BB"/>
    <w:rsid w:val="003D42F5"/>
    <w:rsid w:val="003D664A"/>
    <w:rsid w:val="00406366"/>
    <w:rsid w:val="00406FA2"/>
    <w:rsid w:val="0042556C"/>
    <w:rsid w:val="00430230"/>
    <w:rsid w:val="0043035A"/>
    <w:rsid w:val="0043078A"/>
    <w:rsid w:val="004413BE"/>
    <w:rsid w:val="00442386"/>
    <w:rsid w:val="004459FA"/>
    <w:rsid w:val="004625B3"/>
    <w:rsid w:val="004658AE"/>
    <w:rsid w:val="00474D0E"/>
    <w:rsid w:val="00476BF7"/>
    <w:rsid w:val="00486275"/>
    <w:rsid w:val="0049372F"/>
    <w:rsid w:val="00497923"/>
    <w:rsid w:val="004A2A47"/>
    <w:rsid w:val="004A5E8A"/>
    <w:rsid w:val="004B19E3"/>
    <w:rsid w:val="004B7645"/>
    <w:rsid w:val="004D4754"/>
    <w:rsid w:val="004E02EC"/>
    <w:rsid w:val="004E0B58"/>
    <w:rsid w:val="004E1E31"/>
    <w:rsid w:val="004E3F73"/>
    <w:rsid w:val="004E6F90"/>
    <w:rsid w:val="00510889"/>
    <w:rsid w:val="005124DB"/>
    <w:rsid w:val="00520D40"/>
    <w:rsid w:val="0052219E"/>
    <w:rsid w:val="00525134"/>
    <w:rsid w:val="00533514"/>
    <w:rsid w:val="00536D71"/>
    <w:rsid w:val="00550980"/>
    <w:rsid w:val="005540E1"/>
    <w:rsid w:val="005855BD"/>
    <w:rsid w:val="005935BA"/>
    <w:rsid w:val="00595D56"/>
    <w:rsid w:val="005C0D9E"/>
    <w:rsid w:val="005C17C5"/>
    <w:rsid w:val="005C5E84"/>
    <w:rsid w:val="005D3F94"/>
    <w:rsid w:val="005D7931"/>
    <w:rsid w:val="005E3A00"/>
    <w:rsid w:val="005E49F3"/>
    <w:rsid w:val="005F1676"/>
    <w:rsid w:val="005F1B4D"/>
    <w:rsid w:val="005F72D8"/>
    <w:rsid w:val="00601C52"/>
    <w:rsid w:val="00601E87"/>
    <w:rsid w:val="006022E9"/>
    <w:rsid w:val="0060243E"/>
    <w:rsid w:val="0060567B"/>
    <w:rsid w:val="006173AA"/>
    <w:rsid w:val="00633AEE"/>
    <w:rsid w:val="006405F1"/>
    <w:rsid w:val="00653A0B"/>
    <w:rsid w:val="006576CD"/>
    <w:rsid w:val="00657A06"/>
    <w:rsid w:val="00670D57"/>
    <w:rsid w:val="00675553"/>
    <w:rsid w:val="0067558E"/>
    <w:rsid w:val="006813B8"/>
    <w:rsid w:val="006827A9"/>
    <w:rsid w:val="00691323"/>
    <w:rsid w:val="0069356B"/>
    <w:rsid w:val="00694AA7"/>
    <w:rsid w:val="00696134"/>
    <w:rsid w:val="006A60DC"/>
    <w:rsid w:val="006B34C4"/>
    <w:rsid w:val="006C1828"/>
    <w:rsid w:val="006C19A1"/>
    <w:rsid w:val="006D01B2"/>
    <w:rsid w:val="006D41C6"/>
    <w:rsid w:val="006D4E24"/>
    <w:rsid w:val="006D5AD8"/>
    <w:rsid w:val="006D7D3D"/>
    <w:rsid w:val="006E0E52"/>
    <w:rsid w:val="006F29D8"/>
    <w:rsid w:val="006F5759"/>
    <w:rsid w:val="007204B7"/>
    <w:rsid w:val="00720B9D"/>
    <w:rsid w:val="00720F90"/>
    <w:rsid w:val="007263DE"/>
    <w:rsid w:val="007422CA"/>
    <w:rsid w:val="00744B0B"/>
    <w:rsid w:val="00745122"/>
    <w:rsid w:val="0075031C"/>
    <w:rsid w:val="00756171"/>
    <w:rsid w:val="00756B06"/>
    <w:rsid w:val="007609A6"/>
    <w:rsid w:val="00774318"/>
    <w:rsid w:val="0077711D"/>
    <w:rsid w:val="00780CA6"/>
    <w:rsid w:val="00780CBD"/>
    <w:rsid w:val="00782282"/>
    <w:rsid w:val="00786932"/>
    <w:rsid w:val="00786E85"/>
    <w:rsid w:val="0079329B"/>
    <w:rsid w:val="007A52AF"/>
    <w:rsid w:val="007A741A"/>
    <w:rsid w:val="007B00BA"/>
    <w:rsid w:val="007B7A9B"/>
    <w:rsid w:val="007E0B61"/>
    <w:rsid w:val="007E5D3D"/>
    <w:rsid w:val="007E6B08"/>
    <w:rsid w:val="007F1FF6"/>
    <w:rsid w:val="007F78AE"/>
    <w:rsid w:val="00804153"/>
    <w:rsid w:val="00805BA0"/>
    <w:rsid w:val="0081426B"/>
    <w:rsid w:val="00814AE8"/>
    <w:rsid w:val="00821221"/>
    <w:rsid w:val="00823601"/>
    <w:rsid w:val="008254A9"/>
    <w:rsid w:val="00825E76"/>
    <w:rsid w:val="00830490"/>
    <w:rsid w:val="008304A1"/>
    <w:rsid w:val="00833E41"/>
    <w:rsid w:val="008363C2"/>
    <w:rsid w:val="00841C5E"/>
    <w:rsid w:val="0085679A"/>
    <w:rsid w:val="008576C4"/>
    <w:rsid w:val="00861FC4"/>
    <w:rsid w:val="0086255D"/>
    <w:rsid w:val="00862C06"/>
    <w:rsid w:val="00866457"/>
    <w:rsid w:val="0087129A"/>
    <w:rsid w:val="00876FEA"/>
    <w:rsid w:val="0088216E"/>
    <w:rsid w:val="008846A6"/>
    <w:rsid w:val="00885167"/>
    <w:rsid w:val="008853BB"/>
    <w:rsid w:val="00885C13"/>
    <w:rsid w:val="00887CE4"/>
    <w:rsid w:val="00892471"/>
    <w:rsid w:val="00896E8F"/>
    <w:rsid w:val="008A02D5"/>
    <w:rsid w:val="008A04B3"/>
    <w:rsid w:val="008A0C2F"/>
    <w:rsid w:val="008A21A8"/>
    <w:rsid w:val="008A229D"/>
    <w:rsid w:val="008B45ED"/>
    <w:rsid w:val="008B7F2F"/>
    <w:rsid w:val="008C5AD2"/>
    <w:rsid w:val="008C5BB6"/>
    <w:rsid w:val="008D4C2D"/>
    <w:rsid w:val="008D665F"/>
    <w:rsid w:val="008F7317"/>
    <w:rsid w:val="008F7B15"/>
    <w:rsid w:val="00902676"/>
    <w:rsid w:val="00902F0E"/>
    <w:rsid w:val="00905920"/>
    <w:rsid w:val="00914F60"/>
    <w:rsid w:val="00916DB9"/>
    <w:rsid w:val="00925A4D"/>
    <w:rsid w:val="00934B5F"/>
    <w:rsid w:val="009363A7"/>
    <w:rsid w:val="00945AC1"/>
    <w:rsid w:val="009479F6"/>
    <w:rsid w:val="0095096C"/>
    <w:rsid w:val="00962E25"/>
    <w:rsid w:val="00985F4C"/>
    <w:rsid w:val="00986E71"/>
    <w:rsid w:val="0099366F"/>
    <w:rsid w:val="00994729"/>
    <w:rsid w:val="009949E9"/>
    <w:rsid w:val="00997939"/>
    <w:rsid w:val="009C5FCE"/>
    <w:rsid w:val="009D2F35"/>
    <w:rsid w:val="009F0358"/>
    <w:rsid w:val="009F2614"/>
    <w:rsid w:val="009F64A4"/>
    <w:rsid w:val="00A10C41"/>
    <w:rsid w:val="00A13F46"/>
    <w:rsid w:val="00A1585F"/>
    <w:rsid w:val="00A27CC0"/>
    <w:rsid w:val="00A342E5"/>
    <w:rsid w:val="00A47964"/>
    <w:rsid w:val="00A611ED"/>
    <w:rsid w:val="00A75487"/>
    <w:rsid w:val="00A81E0E"/>
    <w:rsid w:val="00A85CE9"/>
    <w:rsid w:val="00A97F86"/>
    <w:rsid w:val="00AA4A27"/>
    <w:rsid w:val="00AB1ED2"/>
    <w:rsid w:val="00AC5C4C"/>
    <w:rsid w:val="00AE54FC"/>
    <w:rsid w:val="00B00B12"/>
    <w:rsid w:val="00B0730E"/>
    <w:rsid w:val="00B07768"/>
    <w:rsid w:val="00B17302"/>
    <w:rsid w:val="00B20907"/>
    <w:rsid w:val="00B222B1"/>
    <w:rsid w:val="00B27A8E"/>
    <w:rsid w:val="00B30D5F"/>
    <w:rsid w:val="00B335D0"/>
    <w:rsid w:val="00B40C4D"/>
    <w:rsid w:val="00B471F6"/>
    <w:rsid w:val="00B54F55"/>
    <w:rsid w:val="00B744BA"/>
    <w:rsid w:val="00B7495F"/>
    <w:rsid w:val="00B77E7D"/>
    <w:rsid w:val="00B85341"/>
    <w:rsid w:val="00B86D9C"/>
    <w:rsid w:val="00B90912"/>
    <w:rsid w:val="00B9664C"/>
    <w:rsid w:val="00BB30CC"/>
    <w:rsid w:val="00BB570B"/>
    <w:rsid w:val="00BD1168"/>
    <w:rsid w:val="00BE5742"/>
    <w:rsid w:val="00BE585B"/>
    <w:rsid w:val="00BF10BD"/>
    <w:rsid w:val="00BF68DE"/>
    <w:rsid w:val="00C0526B"/>
    <w:rsid w:val="00C20DFB"/>
    <w:rsid w:val="00C26A10"/>
    <w:rsid w:val="00C30A9C"/>
    <w:rsid w:val="00C33155"/>
    <w:rsid w:val="00C37BB3"/>
    <w:rsid w:val="00C53DFF"/>
    <w:rsid w:val="00C545CA"/>
    <w:rsid w:val="00C56E4E"/>
    <w:rsid w:val="00C62984"/>
    <w:rsid w:val="00C775CB"/>
    <w:rsid w:val="00C81CC7"/>
    <w:rsid w:val="00C8316F"/>
    <w:rsid w:val="00C943BD"/>
    <w:rsid w:val="00C94506"/>
    <w:rsid w:val="00CB528A"/>
    <w:rsid w:val="00CB6F75"/>
    <w:rsid w:val="00CB7C3D"/>
    <w:rsid w:val="00CB7F9D"/>
    <w:rsid w:val="00CD02E4"/>
    <w:rsid w:val="00CD43A3"/>
    <w:rsid w:val="00CD468F"/>
    <w:rsid w:val="00CE32DF"/>
    <w:rsid w:val="00CE56B5"/>
    <w:rsid w:val="00CF7D34"/>
    <w:rsid w:val="00D14208"/>
    <w:rsid w:val="00D14EDF"/>
    <w:rsid w:val="00D2004C"/>
    <w:rsid w:val="00D2307A"/>
    <w:rsid w:val="00D26EBA"/>
    <w:rsid w:val="00D33D55"/>
    <w:rsid w:val="00D349E4"/>
    <w:rsid w:val="00D358E1"/>
    <w:rsid w:val="00D40682"/>
    <w:rsid w:val="00D42D7D"/>
    <w:rsid w:val="00D523C5"/>
    <w:rsid w:val="00D55424"/>
    <w:rsid w:val="00D56296"/>
    <w:rsid w:val="00D60BDB"/>
    <w:rsid w:val="00D629A5"/>
    <w:rsid w:val="00D66FDB"/>
    <w:rsid w:val="00D76BD0"/>
    <w:rsid w:val="00D859B1"/>
    <w:rsid w:val="00D86FBB"/>
    <w:rsid w:val="00DB191C"/>
    <w:rsid w:val="00DB5B6D"/>
    <w:rsid w:val="00DC14D3"/>
    <w:rsid w:val="00DC5ACC"/>
    <w:rsid w:val="00DD3E91"/>
    <w:rsid w:val="00DD6A0E"/>
    <w:rsid w:val="00DE2360"/>
    <w:rsid w:val="00DF2AEF"/>
    <w:rsid w:val="00E11C87"/>
    <w:rsid w:val="00E204B4"/>
    <w:rsid w:val="00E269F2"/>
    <w:rsid w:val="00E301D6"/>
    <w:rsid w:val="00E33B3C"/>
    <w:rsid w:val="00E3428E"/>
    <w:rsid w:val="00E34996"/>
    <w:rsid w:val="00E36574"/>
    <w:rsid w:val="00E46B65"/>
    <w:rsid w:val="00E5731A"/>
    <w:rsid w:val="00E57FDC"/>
    <w:rsid w:val="00E61C16"/>
    <w:rsid w:val="00E644AF"/>
    <w:rsid w:val="00E720C8"/>
    <w:rsid w:val="00E8092E"/>
    <w:rsid w:val="00E824E8"/>
    <w:rsid w:val="00E877BA"/>
    <w:rsid w:val="00E92323"/>
    <w:rsid w:val="00E9362B"/>
    <w:rsid w:val="00EA44EF"/>
    <w:rsid w:val="00EB0EE4"/>
    <w:rsid w:val="00EB2A44"/>
    <w:rsid w:val="00EC5DEF"/>
    <w:rsid w:val="00ED3912"/>
    <w:rsid w:val="00ED70D6"/>
    <w:rsid w:val="00EE7D60"/>
    <w:rsid w:val="00F038B7"/>
    <w:rsid w:val="00F041E6"/>
    <w:rsid w:val="00F11497"/>
    <w:rsid w:val="00F1336B"/>
    <w:rsid w:val="00F13791"/>
    <w:rsid w:val="00F1428E"/>
    <w:rsid w:val="00F16247"/>
    <w:rsid w:val="00F44F23"/>
    <w:rsid w:val="00F45E5C"/>
    <w:rsid w:val="00F45E65"/>
    <w:rsid w:val="00F54488"/>
    <w:rsid w:val="00F552E3"/>
    <w:rsid w:val="00F64161"/>
    <w:rsid w:val="00F66032"/>
    <w:rsid w:val="00F716BB"/>
    <w:rsid w:val="00F726A3"/>
    <w:rsid w:val="00F77BE9"/>
    <w:rsid w:val="00F83FED"/>
    <w:rsid w:val="00F86939"/>
    <w:rsid w:val="00F94945"/>
    <w:rsid w:val="00FC1194"/>
    <w:rsid w:val="00FC6991"/>
    <w:rsid w:val="00FD09C5"/>
    <w:rsid w:val="00FD40C1"/>
    <w:rsid w:val="00FE6A6C"/>
    <w:rsid w:val="00FF6C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7">
      <o:colormru v:ext="edit" colors="#f90,#393,#ffa616,#61af2e,#8210b4,#1996b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57"/>
    <w:rPr>
      <w:sz w:val="24"/>
      <w:lang w:eastAsia="en-US"/>
    </w:rPr>
  </w:style>
  <w:style w:type="paragraph" w:styleId="Heading1">
    <w:name w:val="heading 1"/>
    <w:basedOn w:val="Normal"/>
    <w:next w:val="Normal"/>
    <w:qFormat/>
    <w:rsid w:val="001F08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8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08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s">
    <w:name w:val="labels"/>
    <w:basedOn w:val="Normal"/>
    <w:link w:val="labelsChar"/>
    <w:semiHidden/>
    <w:rsid w:val="00866457"/>
    <w:pPr>
      <w:spacing w:line="280" w:lineRule="exact"/>
    </w:pPr>
    <w:rPr>
      <w:rFonts w:ascii="Arial" w:hAnsi="Arial"/>
      <w:sz w:val="22"/>
    </w:rPr>
  </w:style>
  <w:style w:type="paragraph" w:customStyle="1" w:styleId="Maintext">
    <w:name w:val="Main text"/>
    <w:basedOn w:val="labels"/>
    <w:link w:val="MaintextChar"/>
    <w:semiHidden/>
    <w:rsid w:val="00866457"/>
    <w:pPr>
      <w:spacing w:line="240" w:lineRule="exact"/>
    </w:pPr>
    <w:rPr>
      <w:sz w:val="20"/>
    </w:rPr>
  </w:style>
  <w:style w:type="paragraph" w:styleId="Header">
    <w:name w:val="header"/>
    <w:basedOn w:val="Normal"/>
    <w:semiHidden/>
    <w:rsid w:val="00866457"/>
    <w:pPr>
      <w:tabs>
        <w:tab w:val="center" w:pos="4320"/>
        <w:tab w:val="right" w:pos="8640"/>
      </w:tabs>
    </w:pPr>
  </w:style>
  <w:style w:type="paragraph" w:styleId="Footer">
    <w:name w:val="footer"/>
    <w:basedOn w:val="Normal"/>
    <w:link w:val="FooterChar"/>
    <w:uiPriority w:val="99"/>
    <w:rsid w:val="00866457"/>
    <w:pPr>
      <w:tabs>
        <w:tab w:val="center" w:pos="4320"/>
        <w:tab w:val="right" w:pos="8640"/>
      </w:tabs>
    </w:pPr>
  </w:style>
  <w:style w:type="paragraph" w:customStyle="1" w:styleId="LetterBody">
    <w:name w:val="Letter Body"/>
    <w:basedOn w:val="Normal"/>
    <w:semiHidden/>
    <w:rsid w:val="00866457"/>
    <w:pPr>
      <w:spacing w:line="240" w:lineRule="exact"/>
    </w:pPr>
    <w:rPr>
      <w:rFonts w:ascii="Arial" w:hAnsi="Arial"/>
      <w:sz w:val="19"/>
    </w:rPr>
  </w:style>
  <w:style w:type="paragraph" w:customStyle="1" w:styleId="StyleLetterBody">
    <w:name w:val="Style Letter Body"/>
    <w:basedOn w:val="LetterBody"/>
    <w:semiHidden/>
    <w:rsid w:val="00866457"/>
  </w:style>
  <w:style w:type="character" w:customStyle="1" w:styleId="StyleLetterBodyChar">
    <w:name w:val="Style Letter Body Char"/>
    <w:basedOn w:val="DefaultParagraphFont"/>
    <w:semiHidden/>
    <w:rsid w:val="00866457"/>
    <w:rPr>
      <w:rFonts w:ascii="Arial" w:eastAsia="Times" w:hAnsi="Arial"/>
      <w:noProof w:val="0"/>
      <w:sz w:val="19"/>
      <w:lang w:val="en-GB" w:eastAsia="en-US" w:bidi="ar-SA"/>
    </w:rPr>
  </w:style>
  <w:style w:type="paragraph" w:styleId="BalloonText">
    <w:name w:val="Balloon Text"/>
    <w:basedOn w:val="Normal"/>
    <w:semiHidden/>
    <w:rsid w:val="00B85341"/>
    <w:rPr>
      <w:rFonts w:ascii="Tahoma" w:hAnsi="Tahoma" w:cs="Tahoma"/>
      <w:sz w:val="16"/>
      <w:szCs w:val="16"/>
    </w:rPr>
  </w:style>
  <w:style w:type="paragraph" w:customStyle="1" w:styleId="Titleyellow">
    <w:name w:val="Title yellow"/>
    <w:basedOn w:val="Normal"/>
    <w:semiHidden/>
    <w:rsid w:val="00FD09C5"/>
    <w:pPr>
      <w:spacing w:after="113" w:line="500" w:lineRule="exact"/>
    </w:pPr>
    <w:rPr>
      <w:rFonts w:ascii="Arial" w:hAnsi="Arial"/>
      <w:color w:val="FFA616"/>
      <w:sz w:val="50"/>
    </w:rPr>
  </w:style>
  <w:style w:type="paragraph" w:customStyle="1" w:styleId="Titlegreen">
    <w:name w:val="Title green"/>
    <w:basedOn w:val="Normal"/>
    <w:semiHidden/>
    <w:rsid w:val="00EB0EE4"/>
    <w:pPr>
      <w:spacing w:after="113" w:line="500" w:lineRule="exact"/>
    </w:pPr>
    <w:rPr>
      <w:rFonts w:ascii="Arial" w:hAnsi="Arial"/>
      <w:color w:val="008000"/>
      <w:sz w:val="50"/>
      <w:lang w:eastAsia="en-GB"/>
    </w:rPr>
  </w:style>
  <w:style w:type="paragraph" w:customStyle="1" w:styleId="Titlepurple">
    <w:name w:val="Title purple"/>
    <w:basedOn w:val="Normal"/>
    <w:semiHidden/>
    <w:rsid w:val="00FD09C5"/>
    <w:pPr>
      <w:spacing w:after="113" w:line="500" w:lineRule="exact"/>
    </w:pPr>
    <w:rPr>
      <w:rFonts w:ascii="Arial" w:hAnsi="Arial"/>
      <w:color w:val="82107E"/>
      <w:sz w:val="50"/>
    </w:rPr>
  </w:style>
  <w:style w:type="paragraph" w:customStyle="1" w:styleId="Titleblue">
    <w:name w:val="Title blue"/>
    <w:basedOn w:val="Normal"/>
    <w:semiHidden/>
    <w:rsid w:val="00FD09C5"/>
    <w:pPr>
      <w:spacing w:after="113" w:line="500" w:lineRule="exact"/>
    </w:pPr>
    <w:rPr>
      <w:rFonts w:ascii="Arial" w:hAnsi="Arial"/>
      <w:color w:val="1996B4"/>
      <w:sz w:val="50"/>
    </w:rPr>
  </w:style>
  <w:style w:type="paragraph" w:customStyle="1" w:styleId="Summary">
    <w:name w:val="Summary"/>
    <w:basedOn w:val="Maintext"/>
    <w:semiHidden/>
    <w:rsid w:val="002E6659"/>
    <w:pPr>
      <w:spacing w:line="280" w:lineRule="exact"/>
    </w:pPr>
    <w:rPr>
      <w:color w:val="FFA616"/>
      <w:sz w:val="32"/>
      <w:szCs w:val="32"/>
    </w:rPr>
  </w:style>
  <w:style w:type="paragraph" w:customStyle="1" w:styleId="Paraheadgreen">
    <w:name w:val="Para head green"/>
    <w:basedOn w:val="Maintext"/>
    <w:semiHidden/>
    <w:rsid w:val="00EB0EE4"/>
    <w:pPr>
      <w:spacing w:line="280" w:lineRule="exact"/>
      <w:ind w:left="540" w:hanging="540"/>
    </w:pPr>
    <w:rPr>
      <w:b/>
      <w:color w:val="008000"/>
      <w:sz w:val="32"/>
      <w:szCs w:val="32"/>
    </w:rPr>
  </w:style>
  <w:style w:type="paragraph" w:customStyle="1" w:styleId="Paraheadyellow">
    <w:name w:val="Para head yellow"/>
    <w:basedOn w:val="Maintext"/>
    <w:semiHidden/>
    <w:rsid w:val="00744B0B"/>
    <w:pPr>
      <w:spacing w:line="280" w:lineRule="exact"/>
    </w:pPr>
    <w:rPr>
      <w:color w:val="FFA616"/>
      <w:sz w:val="32"/>
      <w:szCs w:val="32"/>
    </w:rPr>
  </w:style>
  <w:style w:type="paragraph" w:customStyle="1" w:styleId="Paraheadpurple">
    <w:name w:val="Para head purple"/>
    <w:basedOn w:val="Maintext"/>
    <w:semiHidden/>
    <w:rsid w:val="00744B0B"/>
    <w:pPr>
      <w:spacing w:line="280" w:lineRule="exact"/>
    </w:pPr>
    <w:rPr>
      <w:color w:val="82107E"/>
      <w:sz w:val="32"/>
      <w:szCs w:val="32"/>
    </w:rPr>
  </w:style>
  <w:style w:type="paragraph" w:customStyle="1" w:styleId="Paraheadblue">
    <w:name w:val="Para head blue"/>
    <w:basedOn w:val="Maintext"/>
    <w:semiHidden/>
    <w:rsid w:val="00744B0B"/>
    <w:pPr>
      <w:spacing w:line="280" w:lineRule="exact"/>
    </w:pPr>
    <w:rPr>
      <w:color w:val="1996B4"/>
      <w:sz w:val="32"/>
      <w:szCs w:val="32"/>
    </w:rPr>
  </w:style>
  <w:style w:type="paragraph" w:customStyle="1" w:styleId="Paranumberorange">
    <w:name w:val="Para number orange"/>
    <w:basedOn w:val="Basictext"/>
    <w:link w:val="ParanumberorangeChar"/>
    <w:rsid w:val="00C26A10"/>
    <w:pPr>
      <w:ind w:left="720" w:hanging="720"/>
    </w:pPr>
    <w:rPr>
      <w:rFonts w:ascii="Arial Bold" w:hAnsi="Arial Bold"/>
      <w:color w:val="FF6600"/>
    </w:rPr>
  </w:style>
  <w:style w:type="paragraph" w:customStyle="1" w:styleId="Paranumbergreen">
    <w:name w:val="Para number green"/>
    <w:basedOn w:val="Basictext"/>
    <w:link w:val="ParanumbergreenChar"/>
    <w:semiHidden/>
    <w:rsid w:val="00EB0EE4"/>
    <w:pPr>
      <w:ind w:left="540" w:hanging="540"/>
    </w:pPr>
    <w:rPr>
      <w:b/>
      <w:color w:val="008000"/>
    </w:rPr>
  </w:style>
  <w:style w:type="paragraph" w:customStyle="1" w:styleId="Paranumberpurple">
    <w:name w:val="Para number purple"/>
    <w:basedOn w:val="Maintext"/>
    <w:semiHidden/>
    <w:rsid w:val="001F0842"/>
    <w:pPr>
      <w:spacing w:line="280" w:lineRule="exact"/>
    </w:pPr>
    <w:rPr>
      <w:b/>
      <w:color w:val="82107E"/>
      <w:sz w:val="22"/>
      <w:szCs w:val="22"/>
    </w:rPr>
  </w:style>
  <w:style w:type="paragraph" w:customStyle="1" w:styleId="Paranumberblue">
    <w:name w:val="Para number blue"/>
    <w:basedOn w:val="Maintext"/>
    <w:link w:val="ParanumberblueChar"/>
    <w:semiHidden/>
    <w:rsid w:val="001F0842"/>
    <w:pPr>
      <w:spacing w:line="280" w:lineRule="exact"/>
    </w:pPr>
    <w:rPr>
      <w:b/>
      <w:color w:val="1996B4"/>
      <w:sz w:val="22"/>
      <w:szCs w:val="22"/>
    </w:rPr>
  </w:style>
  <w:style w:type="paragraph" w:customStyle="1" w:styleId="Main">
    <w:name w:val="Main"/>
    <w:basedOn w:val="Footer"/>
    <w:semiHidden/>
    <w:rsid w:val="00885167"/>
  </w:style>
  <w:style w:type="paragraph" w:customStyle="1" w:styleId="Mian">
    <w:name w:val="Mian"/>
    <w:basedOn w:val="Main"/>
    <w:semiHidden/>
    <w:rsid w:val="00885167"/>
    <w:rPr>
      <w:rFonts w:ascii="Arial" w:hAnsi="Arial"/>
      <w:sz w:val="22"/>
    </w:rPr>
  </w:style>
  <w:style w:type="paragraph" w:customStyle="1" w:styleId="Text">
    <w:name w:val="Text"/>
    <w:basedOn w:val="Mian"/>
    <w:semiHidden/>
    <w:rsid w:val="00885167"/>
    <w:pPr>
      <w:spacing w:line="280" w:lineRule="exact"/>
    </w:pPr>
    <w:rPr>
      <w:szCs w:val="22"/>
    </w:rPr>
  </w:style>
  <w:style w:type="character" w:customStyle="1" w:styleId="labelsChar">
    <w:name w:val="labels Char"/>
    <w:basedOn w:val="DefaultParagraphFont"/>
    <w:link w:val="labels"/>
    <w:rsid w:val="00780CBD"/>
    <w:rPr>
      <w:rFonts w:ascii="Arial" w:eastAsia="Times" w:hAnsi="Arial"/>
      <w:sz w:val="22"/>
      <w:lang w:val="en-GB" w:eastAsia="en-US" w:bidi="ar-SA"/>
    </w:rPr>
  </w:style>
  <w:style w:type="character" w:customStyle="1" w:styleId="MaintextChar">
    <w:name w:val="Main text Char"/>
    <w:basedOn w:val="labelsChar"/>
    <w:link w:val="Maintext"/>
    <w:rsid w:val="00780CBD"/>
    <w:rPr>
      <w:rFonts w:ascii="Arial" w:eastAsia="Times" w:hAnsi="Arial"/>
      <w:sz w:val="22"/>
      <w:lang w:val="en-GB" w:eastAsia="en-US" w:bidi="ar-SA"/>
    </w:rPr>
  </w:style>
  <w:style w:type="character" w:customStyle="1" w:styleId="ParanumberblueChar">
    <w:name w:val="Para number blue Char"/>
    <w:basedOn w:val="MaintextChar"/>
    <w:link w:val="Paranumberblue"/>
    <w:rsid w:val="00780CBD"/>
    <w:rPr>
      <w:rFonts w:ascii="Arial" w:eastAsia="Times" w:hAnsi="Arial"/>
      <w:b/>
      <w:color w:val="1996B4"/>
      <w:sz w:val="22"/>
      <w:szCs w:val="22"/>
      <w:lang w:val="en-GB" w:eastAsia="en-US" w:bidi="ar-SA"/>
    </w:rPr>
  </w:style>
  <w:style w:type="paragraph" w:customStyle="1" w:styleId="Basictext">
    <w:name w:val="Basic text"/>
    <w:basedOn w:val="Normal"/>
    <w:link w:val="BasictextChar"/>
    <w:rsid w:val="00985F4C"/>
    <w:pPr>
      <w:ind w:left="360" w:hanging="360"/>
    </w:pPr>
    <w:rPr>
      <w:rFonts w:ascii="Arial" w:hAnsi="Arial" w:cs="Arial"/>
      <w:sz w:val="22"/>
      <w:szCs w:val="22"/>
    </w:rPr>
  </w:style>
  <w:style w:type="character" w:customStyle="1" w:styleId="BasictextChar">
    <w:name w:val="Basic text Char"/>
    <w:basedOn w:val="DefaultParagraphFont"/>
    <w:link w:val="Basictext"/>
    <w:rsid w:val="00985F4C"/>
    <w:rPr>
      <w:rFonts w:ascii="Arial" w:eastAsia="Times" w:hAnsi="Arial" w:cs="Arial"/>
      <w:sz w:val="22"/>
      <w:szCs w:val="22"/>
      <w:lang w:val="en-GB" w:eastAsia="en-US" w:bidi="ar-SA"/>
    </w:rPr>
  </w:style>
  <w:style w:type="character" w:customStyle="1" w:styleId="ParanumbergreenChar">
    <w:name w:val="Para number green Char"/>
    <w:basedOn w:val="MaintextChar"/>
    <w:link w:val="Paranumbergreen"/>
    <w:rsid w:val="00EB0EE4"/>
    <w:rPr>
      <w:rFonts w:ascii="Arial" w:eastAsia="Times" w:hAnsi="Arial" w:cs="Arial"/>
      <w:b/>
      <w:color w:val="008000"/>
      <w:sz w:val="22"/>
      <w:szCs w:val="22"/>
      <w:lang w:val="en-GB" w:eastAsia="en-US" w:bidi="ar-SA"/>
    </w:rPr>
  </w:style>
  <w:style w:type="character" w:styleId="Hyperlink">
    <w:name w:val="Hyperlink"/>
    <w:basedOn w:val="DefaultParagraphFont"/>
    <w:semiHidden/>
    <w:rsid w:val="00EB0EE4"/>
    <w:rPr>
      <w:color w:val="0000FF"/>
      <w:u w:val="single"/>
    </w:rPr>
  </w:style>
  <w:style w:type="paragraph" w:customStyle="1" w:styleId="Subhead1">
    <w:name w:val="Sub head 1"/>
    <w:basedOn w:val="Basictext"/>
    <w:rsid w:val="0069356B"/>
    <w:pPr>
      <w:ind w:left="720" w:hanging="720"/>
    </w:pPr>
    <w:rPr>
      <w:b/>
      <w:sz w:val="24"/>
      <w:szCs w:val="24"/>
    </w:rPr>
  </w:style>
  <w:style w:type="paragraph" w:customStyle="1" w:styleId="Paraheadorange">
    <w:name w:val="Para head orange"/>
    <w:basedOn w:val="Paraheadgreen"/>
    <w:rsid w:val="00FF6C06"/>
    <w:pPr>
      <w:ind w:left="720" w:hanging="720"/>
    </w:pPr>
    <w:rPr>
      <w:color w:val="FF6600"/>
    </w:rPr>
  </w:style>
  <w:style w:type="paragraph" w:customStyle="1" w:styleId="Titleorange">
    <w:name w:val="Title orange"/>
    <w:basedOn w:val="Titlegreen"/>
    <w:rsid w:val="00FF6C06"/>
    <w:rPr>
      <w:color w:val="FF6600"/>
      <w:szCs w:val="50"/>
    </w:rPr>
  </w:style>
  <w:style w:type="character" w:customStyle="1" w:styleId="ParanumberorangeChar">
    <w:name w:val="Para number orange Char"/>
    <w:basedOn w:val="BasictextChar"/>
    <w:link w:val="Paranumberorange"/>
    <w:rsid w:val="00C26A10"/>
    <w:rPr>
      <w:rFonts w:ascii="Arial Bold" w:eastAsia="Times" w:hAnsi="Arial Bold" w:cs="Arial"/>
      <w:color w:val="FF6600"/>
      <w:sz w:val="22"/>
      <w:szCs w:val="22"/>
      <w:lang w:val="en-GB" w:eastAsia="en-US" w:bidi="ar-SA"/>
    </w:rPr>
  </w:style>
  <w:style w:type="character" w:customStyle="1" w:styleId="BasictextChar1">
    <w:name w:val="Basic text Char1"/>
    <w:basedOn w:val="DefaultParagraphFont"/>
    <w:rsid w:val="0027274C"/>
    <w:rPr>
      <w:rFonts w:ascii="Arial" w:eastAsia="Times" w:hAnsi="Arial" w:cs="Arial"/>
      <w:sz w:val="22"/>
      <w:szCs w:val="22"/>
      <w:lang w:val="en-GB" w:eastAsia="en-US" w:bidi="ar-SA"/>
    </w:rPr>
  </w:style>
  <w:style w:type="table" w:styleId="TableGrid">
    <w:name w:val="Table Grid"/>
    <w:basedOn w:val="TableNormal"/>
    <w:rsid w:val="00D34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berorangeChar1">
    <w:name w:val="Para number orange Char1"/>
    <w:basedOn w:val="BasictextChar1"/>
    <w:rsid w:val="00887CE4"/>
    <w:rPr>
      <w:rFonts w:ascii="Arial" w:eastAsia="Times" w:hAnsi="Arial" w:cs="Arial"/>
      <w:b/>
      <w:color w:val="FF6600"/>
      <w:sz w:val="22"/>
      <w:szCs w:val="22"/>
      <w:lang w:val="en-GB" w:eastAsia="en-US" w:bidi="ar-SA"/>
    </w:rPr>
  </w:style>
  <w:style w:type="paragraph" w:customStyle="1" w:styleId="Default">
    <w:name w:val="Default"/>
    <w:rsid w:val="00E57FDC"/>
    <w:pPr>
      <w:autoSpaceDE w:val="0"/>
      <w:autoSpaceDN w:val="0"/>
      <w:adjustRightInd w:val="0"/>
    </w:pPr>
    <w:rPr>
      <w:rFonts w:ascii="Arial" w:hAnsi="Arial" w:cs="Arial"/>
      <w:color w:val="000000"/>
      <w:sz w:val="24"/>
      <w:szCs w:val="24"/>
    </w:rPr>
  </w:style>
  <w:style w:type="character" w:customStyle="1" w:styleId="StyleParanumberCharOrange">
    <w:name w:val="Style Para number Char + Orange"/>
    <w:basedOn w:val="ParanumberblueChar"/>
    <w:rsid w:val="00E57FDC"/>
    <w:rPr>
      <w:rFonts w:ascii="Arial" w:eastAsia="Times" w:hAnsi="Arial" w:cs="Arial"/>
      <w:b/>
      <w:bCs/>
      <w:noProof w:val="0"/>
      <w:color w:val="FF6600"/>
      <w:sz w:val="22"/>
      <w:szCs w:val="22"/>
      <w:lang w:val="en-GB" w:eastAsia="en-US" w:bidi="ar-SA"/>
    </w:rPr>
  </w:style>
  <w:style w:type="paragraph" w:styleId="FootnoteText">
    <w:name w:val="footnote text"/>
    <w:basedOn w:val="Normal"/>
    <w:link w:val="FootnoteTextChar"/>
    <w:rsid w:val="00081852"/>
    <w:rPr>
      <w:sz w:val="20"/>
    </w:rPr>
  </w:style>
  <w:style w:type="character" w:customStyle="1" w:styleId="FootnoteTextChar">
    <w:name w:val="Footnote Text Char"/>
    <w:basedOn w:val="DefaultParagraphFont"/>
    <w:link w:val="FootnoteText"/>
    <w:uiPriority w:val="99"/>
    <w:rsid w:val="00081852"/>
    <w:rPr>
      <w:lang w:eastAsia="en-US"/>
    </w:rPr>
  </w:style>
  <w:style w:type="character" w:styleId="FootnoteReference">
    <w:name w:val="footnote reference"/>
    <w:basedOn w:val="DefaultParagraphFont"/>
    <w:uiPriority w:val="99"/>
    <w:qFormat/>
    <w:rsid w:val="00081852"/>
    <w:rPr>
      <w:vertAlign w:val="superscript"/>
    </w:rPr>
  </w:style>
  <w:style w:type="character" w:customStyle="1" w:styleId="FooterChar">
    <w:name w:val="Footer Char"/>
    <w:basedOn w:val="DefaultParagraphFont"/>
    <w:link w:val="Footer"/>
    <w:uiPriority w:val="99"/>
    <w:rsid w:val="00FC1194"/>
    <w:rPr>
      <w:sz w:val="24"/>
      <w:lang w:eastAsia="en-US"/>
    </w:rPr>
  </w:style>
  <w:style w:type="character" w:customStyle="1" w:styleId="InternetLink">
    <w:name w:val="Internet Link"/>
    <w:basedOn w:val="DefaultParagraphFont"/>
    <w:semiHidden/>
    <w:rsid w:val="006D4E24"/>
    <w:rPr>
      <w:color w:val="0000FF"/>
      <w:u w:val="single"/>
    </w:rPr>
  </w:style>
  <w:style w:type="paragraph" w:styleId="ListParagraph">
    <w:name w:val="List Paragraph"/>
    <w:basedOn w:val="Normal"/>
    <w:uiPriority w:val="34"/>
    <w:qFormat/>
    <w:rsid w:val="006D4E24"/>
    <w:pPr>
      <w:ind w:left="720"/>
      <w:contextualSpacing/>
    </w:pPr>
    <w:rPr>
      <w:rFonts w:asciiTheme="minorHAnsi" w:eastAsiaTheme="minorHAnsi" w:hAnsiTheme="minorHAnsi" w:cstheme="minorBidi"/>
      <w:sz w:val="22"/>
      <w:szCs w:val="22"/>
    </w:rPr>
  </w:style>
  <w:style w:type="character" w:customStyle="1" w:styleId="FootnoteAnchor">
    <w:name w:val="Footnote Anchor"/>
    <w:rsid w:val="006D4E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gamblingcommission.gov.uk" TargetMode="External"/><Relationship Id="rId2" Type="http://schemas.openxmlformats.org/officeDocument/2006/relationships/customXml" Target="../customXml/item2.xml"/><Relationship Id="rId16" Type="http://schemas.openxmlformats.org/officeDocument/2006/relationships/hyperlink" Target="mailto:l.notley@gamblingcommissi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onsultation@gamblingcommission.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williamhillplc.com/media/11914/wmh-half-year-results-statement-0208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mso-contentType ?>
<SharedContentType xmlns="Microsoft.SharePoint.Taxonomy.ContentTypeSync" SourceId="97c85119-18d9-41e7-8c9c-94d8ffdc55dc" ContentTypeId="0x010100943D46E95D4A1B4FBA60C8AEF611E219020605" PreviousValue="false"/>
</file>

<file path=customXml/item3.xml><?xml version="1.0" encoding="utf-8"?>
<ct:contentTypeSchema xmlns:ct="http://schemas.microsoft.com/office/2006/metadata/contentType" xmlns:ma="http://schemas.microsoft.com/office/2006/metadata/properties/metaAttributes" ct:_="" ma:_="" ma:contentTypeName="Project Document" ma:contentTypeID="0x010100943D46E95D4A1B4FBA60C8AEF611E219020605004FA547AF255C7D4AA676587D27B9CFAA" ma:contentTypeVersion="21" ma:contentTypeDescription="" ma:contentTypeScope="" ma:versionID="4660319163a3e07f3802e0e320ac0d71">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4ccc9dcc02cd4b9f542a0da5540472ed"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element ref="ns2:Project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Project_x0020_Document_x0020_Type" ma:index="20" nillable="true" ma:displayName="Project Document Type" ma:format="Dropdown" ma:internalName="Project_x0020_Document_x0020_Type">
      <xsd:simpleType>
        <xsd:restriction base="dms:Choice">
          <xsd:enumeration value="Biog"/>
          <xsd:enumeration value="Briefing"/>
          <xsd:enumeration value="Calculators"/>
          <xsd:enumeration value="Case Management Plan"/>
          <xsd:enumeration value="Comms Plan"/>
          <xsd:enumeration value="Internal"/>
          <xsd:enumeration value="Lessons Learned"/>
          <xsd:enumeration value="Plann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Project_x0020_Document_x0020_Type xmlns="dcd4d639-de5a-4bad-aded-2c25c5bf9fca" xsi:nil="true"/>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Consumers ＆ Partners</TermName>
          <TermId xmlns="http://schemas.microsoft.com/office/infopath/2007/PartnerControls">a0ded2a8-6a71-4290-bf10-07c26f091e31</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758</Value>
    </TaxCatchAll>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689B77E-1537-4818-AD3A-09CDE1057716}">
  <ds:schemaRefs>
    <ds:schemaRef ds:uri="http://schemas.microsoft.com/sharepoint/events"/>
  </ds:schemaRefs>
</ds:datastoreItem>
</file>

<file path=customXml/itemProps2.xml><?xml version="1.0" encoding="utf-8"?>
<ds:datastoreItem xmlns:ds="http://schemas.openxmlformats.org/officeDocument/2006/customXml" ds:itemID="{AF5CA7A3-1464-41EA-A990-56AA32A74FB4}">
  <ds:schemaRefs>
    <ds:schemaRef ds:uri="Microsoft.SharePoint.Taxonomy.ContentTypeSync"/>
  </ds:schemaRefs>
</ds:datastoreItem>
</file>

<file path=customXml/itemProps3.xml><?xml version="1.0" encoding="utf-8"?>
<ds:datastoreItem xmlns:ds="http://schemas.openxmlformats.org/officeDocument/2006/customXml" ds:itemID="{593BFA90-774B-4A77-8FB6-B4B96DBD1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22ED3-F94E-4B47-BA94-6C55D1B36D9B}">
  <ds:schemaRefs>
    <ds:schemaRef ds:uri="http://schemas.openxmlformats.org/officeDocument/2006/bibliography"/>
  </ds:schemaRefs>
</ds:datastoreItem>
</file>

<file path=customXml/itemProps5.xml><?xml version="1.0" encoding="utf-8"?>
<ds:datastoreItem xmlns:ds="http://schemas.openxmlformats.org/officeDocument/2006/customXml" ds:itemID="{19E02D5D-BA26-41E9-9FED-5D3F75863EA6}">
  <ds:schemaRefs>
    <ds:schemaRef ds:uri="http://schemas.microsoft.com/sharepoint/v3/contenttype/forms"/>
  </ds:schemaRefs>
</ds:datastoreItem>
</file>

<file path=customXml/itemProps6.xml><?xml version="1.0" encoding="utf-8"?>
<ds:datastoreItem xmlns:ds="http://schemas.openxmlformats.org/officeDocument/2006/customXml" ds:itemID="{C7E9D136-5E1C-4B20-9443-0568BC5991AB}">
  <ds:schemaRefs>
    <ds:schemaRef ds:uri="http://purl.org/dc/terms/"/>
    <ds:schemaRef ds:uri="http://purl.org/dc/dcmitype/"/>
    <ds:schemaRef ds:uri="http://www.w3.org/XML/1998/namespace"/>
    <ds:schemaRef ds:uri="http://schemas.microsoft.com/office/2006/metadata/properties"/>
    <ds:schemaRef ds:uri="http://schemas.microsoft.com/sharepoint/v3"/>
    <ds:schemaRef ds:uri="http://purl.org/dc/elements/1.1/"/>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7.xml><?xml version="1.0" encoding="utf-8"?>
<ds:datastoreItem xmlns:ds="http://schemas.openxmlformats.org/officeDocument/2006/customXml" ds:itemID="{EFF03184-E326-43B5-ABB2-5CED38A845D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2527</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Form-response-to-consultation</vt:lpstr>
    </vt:vector>
  </TitlesOfParts>
  <Company>Gambling Commission</Company>
  <LinksUpToDate>false</LinksUpToDate>
  <CharactersWithSpaces>16820</CharactersWithSpaces>
  <SharedDoc>false</SharedDoc>
  <HLinks>
    <vt:vector size="12" baseType="variant">
      <vt:variant>
        <vt:i4>3014658</vt:i4>
      </vt:variant>
      <vt:variant>
        <vt:i4>3</vt:i4>
      </vt:variant>
      <vt:variant>
        <vt:i4>0</vt:i4>
      </vt:variant>
      <vt:variant>
        <vt:i4>5</vt:i4>
      </vt:variant>
      <vt:variant>
        <vt:lpwstr>mailto:l.notley@gamblingcommission.gov.uk</vt:lpwstr>
      </vt:variant>
      <vt:variant>
        <vt:lpwstr/>
      </vt:variant>
      <vt:variant>
        <vt:i4>2752576</vt:i4>
      </vt:variant>
      <vt:variant>
        <vt:i4>0</vt:i4>
      </vt:variant>
      <vt:variant>
        <vt:i4>0</vt:i4>
      </vt:variant>
      <vt:variant>
        <vt:i4>5</vt:i4>
      </vt:variant>
      <vt:variant>
        <vt:lpwstr>mailto:consultation@gamblingcommission.gov.uk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Form-response-to-consultation</dc:title>
  <dc:creator>Gambling Commission</dc:creator>
  <cp:lastModifiedBy>Windows User</cp:lastModifiedBy>
  <cp:revision>5</cp:revision>
  <cp:lastPrinted>2018-04-21T19:37:00Z</cp:lastPrinted>
  <dcterms:created xsi:type="dcterms:W3CDTF">2018-04-21T16:15:00Z</dcterms:created>
  <dcterms:modified xsi:type="dcterms:W3CDTF">2018-04-21T19:44:00Z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0x010100943D46E95D4A1B4FBA60C8AEF611E219020605004FA547AF255C7D4AA676587D27B9CFAA</vt:lpwstr>
  </property>
  <property fmtid="{D5CDD505-2E9C-101B-9397-08002B2CF9AE}" pid="3" name="TaxKeyword">
    <vt:lpwstr/>
  </property>
  <property fmtid="{D5CDD505-2E9C-101B-9397-08002B2CF9AE}" pid="4" name="Related Functions">
    <vt:lpwstr/>
  </property>
  <property fmtid="{D5CDD505-2E9C-101B-9397-08002B2CF9AE}" pid="5" name="Function">
    <vt:lpwstr>758;#Consumers ＆ Partners|a0ded2a8-6a71-4290-bf10-07c26f091e31</vt:lpwstr>
  </property>
  <property fmtid="{D5CDD505-2E9C-101B-9397-08002B2CF9AE}" pid="6" name="_dlc_policyId">
    <vt:lpwstr/>
  </property>
  <property fmtid="{D5CDD505-2E9C-101B-9397-08002B2CF9AE}" pid="7" name="ItemRetentionFormula">
    <vt:lpwstr/>
  </property>
</Properties>
</file>