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7B" w:rsidRPr="00CA7703" w:rsidRDefault="00F5637B" w:rsidP="00615142">
      <w:pPr>
        <w:pStyle w:val="ReturnAddress"/>
        <w:framePr w:w="3225" w:h="1906" w:wrap="notBeside" w:hAnchor="page" w:x="7444" w:y="657"/>
        <w:rPr>
          <w:rFonts w:asciiTheme="minorHAnsi" w:hAnsiTheme="minorHAnsi" w:cstheme="minorHAnsi"/>
        </w:rPr>
      </w:pPr>
      <w:r w:rsidRPr="00CA7703">
        <w:rPr>
          <w:rFonts w:asciiTheme="minorHAnsi" w:hAnsiTheme="minorHAnsi" w:cstheme="minorHAnsi"/>
        </w:rPr>
        <w:t>Registered Charity No: 1059310</w:t>
      </w:r>
    </w:p>
    <w:p w:rsidR="00F5637B" w:rsidRPr="00CA7703" w:rsidRDefault="00F5637B" w:rsidP="00615142">
      <w:pPr>
        <w:pStyle w:val="ReturnAddress"/>
        <w:framePr w:w="3225" w:h="1906" w:wrap="notBeside" w:hAnchor="page" w:x="7444" w:y="657"/>
        <w:rPr>
          <w:rFonts w:asciiTheme="minorHAnsi" w:hAnsiTheme="minorHAnsi" w:cstheme="minorHAnsi"/>
        </w:rPr>
      </w:pPr>
      <w:r w:rsidRPr="00CA7703">
        <w:rPr>
          <w:rFonts w:asciiTheme="minorHAnsi" w:hAnsiTheme="minorHAnsi" w:cstheme="minorHAnsi"/>
        </w:rPr>
        <w:t>A Company Limited by Guarantee Registration No 32655669</w:t>
      </w:r>
    </w:p>
    <w:p w:rsidR="00F5637B" w:rsidRDefault="00F5637B" w:rsidP="00615142">
      <w:pPr>
        <w:pStyle w:val="ReturnAddress"/>
        <w:framePr w:w="3225" w:h="1906" w:wrap="notBeside" w:hAnchor="page" w:x="7444" w:y="657"/>
      </w:pPr>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Director: Alison Mather </w:t>
      </w:r>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PO Box 3344</w:t>
      </w:r>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Bristol BS6 9NT</w:t>
      </w:r>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0117 924 6981</w:t>
      </w:r>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E- mail: </w:t>
      </w:r>
      <w:hyperlink r:id="rId8" w:history="1">
        <w:r w:rsidRPr="00CA7703">
          <w:rPr>
            <w:rStyle w:val="Hyperlink"/>
            <w:rFonts w:asciiTheme="minorHAnsi" w:hAnsiTheme="minorHAnsi" w:cstheme="minorHAnsi"/>
            <w:b/>
            <w:bCs/>
            <w:sz w:val="18"/>
          </w:rPr>
          <w:t>alison@qaad.org</w:t>
        </w:r>
      </w:hyperlink>
    </w:p>
    <w:p w:rsidR="00F5637B" w:rsidRPr="00CA7703" w:rsidRDefault="00F5637B" w:rsidP="00615142">
      <w:pPr>
        <w:pStyle w:val="ReturnAddress"/>
        <w:framePr w:w="3225" w:h="1906"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Website: </w:t>
      </w:r>
      <w:hyperlink r:id="rId9" w:history="1">
        <w:r w:rsidRPr="00CA7703">
          <w:rPr>
            <w:rStyle w:val="Hyperlink"/>
            <w:rFonts w:asciiTheme="minorHAnsi" w:hAnsiTheme="minorHAnsi" w:cstheme="minorHAnsi"/>
            <w:b/>
            <w:bCs/>
            <w:sz w:val="18"/>
          </w:rPr>
          <w:t>www.qaad.org</w:t>
        </w:r>
      </w:hyperlink>
    </w:p>
    <w:p w:rsidR="00F5637B" w:rsidRPr="00615142" w:rsidRDefault="00F5637B" w:rsidP="00D566D6">
      <w:pPr>
        <w:spacing w:before="120" w:after="120"/>
        <w:rPr>
          <w:b/>
        </w:rPr>
      </w:pPr>
      <w:r>
        <w:rPr>
          <w:b/>
          <w:noProof/>
          <w:lang w:eastAsia="en-GB"/>
        </w:rPr>
        <w:drawing>
          <wp:anchor distT="0" distB="0" distL="114300" distR="114300" simplePos="0" relativeHeight="251659264" behindDoc="0" locked="0" layoutInCell="1" allowOverlap="1">
            <wp:simplePos x="0" y="0"/>
            <wp:positionH relativeFrom="column">
              <wp:posOffset>-41910</wp:posOffset>
            </wp:positionH>
            <wp:positionV relativeFrom="paragraph">
              <wp:posOffset>-466090</wp:posOffset>
            </wp:positionV>
            <wp:extent cx="1713230" cy="931545"/>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13230" cy="931545"/>
                    </a:xfrm>
                    <a:prstGeom prst="rect">
                      <a:avLst/>
                    </a:prstGeom>
                    <a:noFill/>
                    <a:ln w="9525">
                      <a:noFill/>
                      <a:miter lim="800000"/>
                      <a:headEnd/>
                      <a:tailEnd/>
                    </a:ln>
                  </pic:spPr>
                </pic:pic>
              </a:graphicData>
            </a:graphic>
          </wp:anchor>
        </w:drawing>
      </w:r>
      <w:r w:rsidRPr="0086184D">
        <w:rPr>
          <w:b/>
          <w:sz w:val="24"/>
          <w:szCs w:val="24"/>
        </w:rPr>
        <w:t>QAAD RESPONSE TO THE REVIEW OF THE GAMBLING ACT 2005 TERMS OF REFERENCE AND CALL FOR EVIDENCE</w:t>
      </w:r>
      <w:r w:rsidR="005B4CAC">
        <w:rPr>
          <w:b/>
          <w:sz w:val="24"/>
          <w:szCs w:val="24"/>
        </w:rPr>
        <w:t xml:space="preserve">  </w:t>
      </w:r>
      <w:r w:rsidR="00D566D6">
        <w:rPr>
          <w:b/>
          <w:sz w:val="24"/>
          <w:szCs w:val="24"/>
        </w:rPr>
        <w:t xml:space="preserve"> </w:t>
      </w:r>
    </w:p>
    <w:p w:rsidR="00A365EC" w:rsidRDefault="00A365EC" w:rsidP="00A365EC">
      <w:pPr>
        <w:pStyle w:val="ecxmsonormal"/>
        <w:spacing w:after="0"/>
        <w:jc w:val="both"/>
        <w:rPr>
          <w:rFonts w:ascii="Calibri" w:hAnsi="Calibri" w:cs="Calibri"/>
          <w:sz w:val="22"/>
          <w:szCs w:val="22"/>
          <w:lang w:val="en-US"/>
        </w:rPr>
      </w:pPr>
      <w:r w:rsidRPr="00741B0A">
        <w:rPr>
          <w:rFonts w:ascii="Calibri" w:hAnsi="Calibri" w:cs="Calibri"/>
          <w:sz w:val="22"/>
          <w:szCs w:val="22"/>
          <w:lang w:val="en-US"/>
        </w:rPr>
        <w:t xml:space="preserve">Quaker Action on Alcohol and Drugs (QAAD) is a Recognised Body of the Religious Society of Friends (Quakers) and an independent, national charity that has a concern with </w:t>
      </w:r>
      <w:r w:rsidR="00260D46">
        <w:rPr>
          <w:rFonts w:ascii="Calibri" w:hAnsi="Calibri" w:cs="Calibri"/>
          <w:sz w:val="22"/>
          <w:szCs w:val="22"/>
          <w:lang w:val="en-US"/>
        </w:rPr>
        <w:t xml:space="preserve">gambling-related harm and </w:t>
      </w:r>
      <w:r w:rsidRPr="00741B0A">
        <w:rPr>
          <w:rFonts w:ascii="Calibri" w:hAnsi="Calibri" w:cs="Calibri"/>
          <w:sz w:val="22"/>
          <w:szCs w:val="22"/>
          <w:lang w:val="en-US"/>
        </w:rPr>
        <w:t>the use and misuse of alcohol and</w:t>
      </w:r>
      <w:r w:rsidR="00B173E7">
        <w:rPr>
          <w:rFonts w:ascii="Calibri" w:hAnsi="Calibri" w:cs="Calibri"/>
          <w:sz w:val="22"/>
          <w:szCs w:val="22"/>
          <w:lang w:val="en-US"/>
        </w:rPr>
        <w:t xml:space="preserve"> other drugs</w:t>
      </w:r>
      <w:r w:rsidR="00260D46">
        <w:rPr>
          <w:rFonts w:ascii="Calibri" w:hAnsi="Calibri" w:cs="Calibri"/>
          <w:sz w:val="22"/>
          <w:szCs w:val="22"/>
          <w:lang w:val="en-US"/>
        </w:rPr>
        <w:t>.</w:t>
      </w:r>
      <w:r>
        <w:rPr>
          <w:rFonts w:ascii="Calibri" w:hAnsi="Calibri" w:cs="Calibri"/>
          <w:sz w:val="22"/>
          <w:szCs w:val="22"/>
          <w:lang w:val="en-US"/>
        </w:rPr>
        <w:t xml:space="preserve">  </w:t>
      </w:r>
      <w:r w:rsidR="00E57560">
        <w:rPr>
          <w:rFonts w:ascii="Calibri" w:hAnsi="Calibri" w:cs="Calibri"/>
          <w:sz w:val="22"/>
          <w:szCs w:val="22"/>
          <w:lang w:val="en-US"/>
        </w:rPr>
        <w:t xml:space="preserve"> </w:t>
      </w:r>
      <w:r w:rsidR="009A41DA">
        <w:rPr>
          <w:rFonts w:ascii="Calibri" w:hAnsi="Calibri" w:cs="Calibri"/>
          <w:sz w:val="22"/>
          <w:szCs w:val="22"/>
          <w:lang w:val="en-US"/>
        </w:rPr>
        <w:t xml:space="preserve">QAAD does not represent </w:t>
      </w:r>
      <w:r>
        <w:rPr>
          <w:rFonts w:ascii="Calibri" w:hAnsi="Calibri" w:cs="Calibri"/>
          <w:sz w:val="22"/>
          <w:szCs w:val="22"/>
          <w:lang w:val="en-US"/>
        </w:rPr>
        <w:t xml:space="preserve">Quakers </w:t>
      </w:r>
      <w:r w:rsidRPr="00741B0A">
        <w:rPr>
          <w:rFonts w:ascii="Calibri" w:hAnsi="Calibri" w:cs="Calibri"/>
          <w:sz w:val="22"/>
          <w:szCs w:val="22"/>
          <w:lang w:val="en-US"/>
        </w:rPr>
        <w:t xml:space="preserve">as a whole, but our views are rooted in our Quaker principles.  </w:t>
      </w:r>
      <w:r w:rsidR="00DE5254">
        <w:rPr>
          <w:rFonts w:ascii="Calibri" w:hAnsi="Calibri" w:cs="Calibri"/>
          <w:sz w:val="22"/>
          <w:szCs w:val="22"/>
          <w:lang w:val="en-US"/>
        </w:rPr>
        <w:t>We are advised</w:t>
      </w:r>
      <w:r w:rsidRPr="00741B0A">
        <w:rPr>
          <w:rFonts w:ascii="Calibri" w:hAnsi="Calibri" w:cs="Calibri"/>
          <w:sz w:val="22"/>
          <w:szCs w:val="22"/>
          <w:lang w:val="en-US"/>
        </w:rPr>
        <w:t xml:space="preserve"> against gambling and speculation on the grounds that it involves gain at the expense of another’s loss, works against equality and our spiritual connectedness to others, and encourages a focus on material wealth.  </w:t>
      </w:r>
    </w:p>
    <w:p w:rsidR="00A365EC" w:rsidRDefault="00A365EC" w:rsidP="00A365EC">
      <w:pPr>
        <w:pStyle w:val="ecxmsonormal"/>
        <w:spacing w:after="0"/>
        <w:jc w:val="both"/>
        <w:rPr>
          <w:rFonts w:ascii="Calibri" w:hAnsi="Calibri" w:cs="Calibri"/>
          <w:sz w:val="22"/>
          <w:szCs w:val="22"/>
          <w:lang w:val="en-US"/>
        </w:rPr>
      </w:pPr>
    </w:p>
    <w:p w:rsidR="00A365EC" w:rsidRPr="0049226E" w:rsidRDefault="00A365EC" w:rsidP="00A365EC">
      <w:pPr>
        <w:pStyle w:val="ecxmsonormal"/>
        <w:spacing w:after="0"/>
        <w:jc w:val="both"/>
        <w:rPr>
          <w:rFonts w:ascii="Calibri" w:hAnsi="Calibri" w:cs="Calibri"/>
          <w:sz w:val="22"/>
          <w:szCs w:val="22"/>
          <w:lang w:val="en-US"/>
        </w:rPr>
      </w:pPr>
      <w:r w:rsidRPr="00741B0A">
        <w:rPr>
          <w:rFonts w:ascii="Calibri" w:hAnsi="Calibri" w:cs="Calibri"/>
          <w:sz w:val="22"/>
          <w:szCs w:val="22"/>
          <w:lang w:val="en-US"/>
        </w:rPr>
        <w:t xml:space="preserve">QAAD was one of the interfaith groups that gave oral evidence to the Joint Parliamentary Select Committee that considered </w:t>
      </w:r>
      <w:r w:rsidR="00472814">
        <w:rPr>
          <w:rFonts w:ascii="Calibri" w:hAnsi="Calibri" w:cs="Calibri"/>
          <w:sz w:val="22"/>
          <w:szCs w:val="22"/>
          <w:lang w:val="en-US"/>
        </w:rPr>
        <w:t>the Gambling Act of 2005. We continue</w:t>
      </w:r>
      <w:r w:rsidRPr="00741B0A">
        <w:rPr>
          <w:rFonts w:ascii="Calibri" w:hAnsi="Calibri" w:cs="Calibri"/>
          <w:sz w:val="22"/>
          <w:szCs w:val="22"/>
          <w:lang w:val="en-US"/>
        </w:rPr>
        <w:t xml:space="preserve"> to be actively involved as a</w:t>
      </w:r>
      <w:r>
        <w:rPr>
          <w:rFonts w:ascii="Calibri" w:hAnsi="Calibri" w:cs="Calibri"/>
          <w:sz w:val="22"/>
          <w:szCs w:val="22"/>
          <w:lang w:val="en-US"/>
        </w:rPr>
        <w:t xml:space="preserve"> stak</w:t>
      </w:r>
      <w:r w:rsidR="00B173E7">
        <w:rPr>
          <w:rFonts w:ascii="Calibri" w:hAnsi="Calibri" w:cs="Calibri"/>
          <w:sz w:val="22"/>
          <w:szCs w:val="22"/>
          <w:lang w:val="en-US"/>
        </w:rPr>
        <w:t>eholder</w:t>
      </w:r>
      <w:r>
        <w:rPr>
          <w:rFonts w:ascii="Calibri" w:hAnsi="Calibri" w:cs="Calibri"/>
          <w:sz w:val="22"/>
          <w:szCs w:val="22"/>
          <w:lang w:val="en-US"/>
        </w:rPr>
        <w:t xml:space="preserve">, </w:t>
      </w:r>
      <w:r w:rsidR="00260D46">
        <w:rPr>
          <w:rFonts w:ascii="Calibri" w:hAnsi="Calibri" w:cs="Calibri"/>
          <w:sz w:val="22"/>
          <w:szCs w:val="22"/>
          <w:lang w:val="en-US"/>
        </w:rPr>
        <w:t xml:space="preserve">as members </w:t>
      </w:r>
      <w:r w:rsidR="00AB48A4">
        <w:rPr>
          <w:rFonts w:ascii="Calibri" w:hAnsi="Calibri" w:cs="Calibri"/>
          <w:sz w:val="22"/>
          <w:szCs w:val="22"/>
          <w:lang w:val="en-US"/>
        </w:rPr>
        <w:t>of the Gambling Health Alliance. We have</w:t>
      </w:r>
      <w:r w:rsidR="00260D46">
        <w:rPr>
          <w:rFonts w:ascii="Calibri" w:hAnsi="Calibri" w:cs="Calibri"/>
          <w:sz w:val="22"/>
          <w:szCs w:val="22"/>
          <w:lang w:val="en-US"/>
        </w:rPr>
        <w:t xml:space="preserve"> </w:t>
      </w:r>
      <w:r w:rsidR="00AB48A4">
        <w:rPr>
          <w:rFonts w:ascii="Calibri" w:hAnsi="Calibri" w:cs="Calibri"/>
          <w:sz w:val="22"/>
          <w:szCs w:val="22"/>
          <w:lang w:val="en-US"/>
        </w:rPr>
        <w:t>responded</w:t>
      </w:r>
      <w:r w:rsidR="00A93911">
        <w:rPr>
          <w:rFonts w:ascii="Calibri" w:hAnsi="Calibri" w:cs="Calibri"/>
          <w:sz w:val="22"/>
          <w:szCs w:val="22"/>
          <w:lang w:val="en-US"/>
        </w:rPr>
        <w:t xml:space="preserve"> to multiple</w:t>
      </w:r>
      <w:r w:rsidR="00260D46">
        <w:rPr>
          <w:rFonts w:ascii="Calibri" w:hAnsi="Calibri" w:cs="Calibri"/>
          <w:sz w:val="22"/>
          <w:szCs w:val="22"/>
          <w:lang w:val="en-US"/>
        </w:rPr>
        <w:t xml:space="preserve"> </w:t>
      </w:r>
      <w:r w:rsidR="00A93911">
        <w:rPr>
          <w:rFonts w:ascii="Calibri" w:hAnsi="Calibri" w:cs="Calibri"/>
          <w:sz w:val="22"/>
          <w:szCs w:val="22"/>
          <w:lang w:val="en-US"/>
        </w:rPr>
        <w:t>Gambling Commission and DCMS</w:t>
      </w:r>
      <w:r w:rsidR="00260D46">
        <w:rPr>
          <w:rFonts w:ascii="Calibri" w:hAnsi="Calibri" w:cs="Calibri"/>
          <w:sz w:val="22"/>
          <w:szCs w:val="22"/>
          <w:lang w:val="en-US"/>
        </w:rPr>
        <w:t xml:space="preserve"> consultations; and</w:t>
      </w:r>
      <w:r w:rsidR="00A93911">
        <w:rPr>
          <w:rFonts w:ascii="Calibri" w:hAnsi="Calibri" w:cs="Calibri"/>
          <w:sz w:val="22"/>
          <w:szCs w:val="22"/>
          <w:lang w:val="en-US"/>
        </w:rPr>
        <w:t xml:space="preserve"> </w:t>
      </w:r>
      <w:r w:rsidRPr="00741B0A">
        <w:rPr>
          <w:rFonts w:ascii="Calibri" w:hAnsi="Calibri" w:cs="Calibri"/>
          <w:sz w:val="22"/>
          <w:szCs w:val="22"/>
          <w:lang w:val="en-US"/>
        </w:rPr>
        <w:t>work</w:t>
      </w:r>
      <w:r w:rsidR="00AB48A4">
        <w:rPr>
          <w:rFonts w:ascii="Calibri" w:hAnsi="Calibri" w:cs="Calibri"/>
          <w:sz w:val="22"/>
          <w:szCs w:val="22"/>
          <w:lang w:val="en-US"/>
        </w:rPr>
        <w:t xml:space="preserve"> closely</w:t>
      </w:r>
      <w:r w:rsidRPr="00741B0A">
        <w:rPr>
          <w:rFonts w:ascii="Calibri" w:hAnsi="Calibri" w:cs="Calibri"/>
          <w:sz w:val="22"/>
          <w:szCs w:val="22"/>
          <w:lang w:val="en-US"/>
        </w:rPr>
        <w:t xml:space="preserve"> with our partners in the Church of England, the Methodist Church, the Evangelical Alliance, and CARE</w:t>
      </w:r>
      <w:r w:rsidR="00260D46">
        <w:rPr>
          <w:rFonts w:ascii="Calibri" w:hAnsi="Calibri" w:cs="Calibri"/>
          <w:sz w:val="22"/>
          <w:szCs w:val="22"/>
          <w:lang w:val="en-US"/>
        </w:rPr>
        <w:t>.</w:t>
      </w:r>
    </w:p>
    <w:p w:rsidR="00A93911" w:rsidRDefault="00A93911" w:rsidP="00A93911">
      <w:pPr>
        <w:pStyle w:val="ecxmsonormal"/>
        <w:spacing w:after="0"/>
        <w:jc w:val="both"/>
        <w:rPr>
          <w:rFonts w:ascii="Calibri" w:hAnsi="Calibri" w:cs="Calibri"/>
          <w:b/>
          <w:sz w:val="22"/>
          <w:szCs w:val="22"/>
          <w:lang w:val="en-US"/>
        </w:rPr>
      </w:pPr>
    </w:p>
    <w:p w:rsidR="00A93911" w:rsidRPr="00741B0A" w:rsidRDefault="00D566D6" w:rsidP="00A93911">
      <w:pPr>
        <w:pStyle w:val="ecxmsonormal"/>
        <w:spacing w:after="0"/>
        <w:jc w:val="both"/>
        <w:rPr>
          <w:rFonts w:ascii="Calibri" w:hAnsi="Calibri" w:cs="Calibri"/>
          <w:b/>
          <w:sz w:val="22"/>
          <w:szCs w:val="22"/>
          <w:lang w:val="en-US"/>
        </w:rPr>
      </w:pPr>
      <w:r w:rsidRPr="00741B0A">
        <w:rPr>
          <w:rFonts w:ascii="Calibri" w:hAnsi="Calibri" w:cs="Calibri"/>
          <w:b/>
          <w:sz w:val="22"/>
          <w:szCs w:val="22"/>
          <w:lang w:val="en-US"/>
        </w:rPr>
        <w:t>WHY WE ARE RESPONDING TO THIS REVIEW</w:t>
      </w:r>
      <w:r>
        <w:rPr>
          <w:rFonts w:ascii="Calibri" w:hAnsi="Calibri" w:cs="Calibri"/>
          <w:b/>
          <w:sz w:val="22"/>
          <w:szCs w:val="22"/>
          <w:lang w:val="en-US"/>
        </w:rPr>
        <w:t xml:space="preserve"> </w:t>
      </w:r>
    </w:p>
    <w:p w:rsidR="00E27BAE" w:rsidRDefault="00A365EC" w:rsidP="00E27BAE">
      <w:pPr>
        <w:pStyle w:val="ecxmsonormal"/>
        <w:spacing w:after="0"/>
        <w:jc w:val="both"/>
        <w:rPr>
          <w:rFonts w:ascii="Calibri" w:hAnsi="Calibri" w:cs="Calibri"/>
          <w:sz w:val="22"/>
          <w:szCs w:val="22"/>
          <w:lang w:val="en-US"/>
        </w:rPr>
      </w:pPr>
      <w:r w:rsidRPr="0049226E">
        <w:rPr>
          <w:rFonts w:ascii="Calibri" w:hAnsi="Calibri" w:cs="Calibri"/>
          <w:sz w:val="22"/>
          <w:szCs w:val="22"/>
          <w:lang w:val="en-US"/>
        </w:rPr>
        <w:t>We welcome the government’s intention to review the 2005 Gambling Act in the light of substantial evidenc</w:t>
      </w:r>
      <w:r w:rsidR="00012DEA">
        <w:rPr>
          <w:rFonts w:ascii="Calibri" w:hAnsi="Calibri" w:cs="Calibri"/>
          <w:sz w:val="22"/>
          <w:szCs w:val="22"/>
          <w:lang w:val="en-US"/>
        </w:rPr>
        <w:t>e of the exponential growth</w:t>
      </w:r>
      <w:r w:rsidRPr="0049226E">
        <w:rPr>
          <w:rFonts w:ascii="Calibri" w:hAnsi="Calibri" w:cs="Calibri"/>
          <w:sz w:val="22"/>
          <w:szCs w:val="22"/>
          <w:lang w:val="en-US"/>
        </w:rPr>
        <w:t xml:space="preserve"> in gambling per se and its resultant harm to individuals, families, comm</w:t>
      </w:r>
      <w:r w:rsidR="00DE5254">
        <w:rPr>
          <w:rFonts w:ascii="Calibri" w:hAnsi="Calibri" w:cs="Calibri"/>
          <w:sz w:val="22"/>
          <w:szCs w:val="22"/>
          <w:lang w:val="en-US"/>
        </w:rPr>
        <w:t>unities and society as a whole</w:t>
      </w:r>
      <w:r w:rsidR="00AB48A4">
        <w:rPr>
          <w:rFonts w:ascii="Calibri" w:hAnsi="Calibri" w:cs="Calibri"/>
          <w:sz w:val="22"/>
          <w:szCs w:val="22"/>
          <w:lang w:val="en-US"/>
        </w:rPr>
        <w:t>.</w:t>
      </w:r>
      <w:r w:rsidR="00DE5254">
        <w:rPr>
          <w:rFonts w:ascii="Calibri" w:hAnsi="Calibri" w:cs="Calibri"/>
          <w:sz w:val="22"/>
          <w:szCs w:val="22"/>
          <w:lang w:val="en-US"/>
        </w:rPr>
        <w:t xml:space="preserve"> </w:t>
      </w:r>
      <w:r w:rsidR="00AB48A4">
        <w:rPr>
          <w:rFonts w:ascii="Calibri" w:hAnsi="Calibri" w:cs="Calibri"/>
          <w:sz w:val="22"/>
          <w:szCs w:val="22"/>
          <w:lang w:val="en-US"/>
        </w:rPr>
        <w:t>We</w:t>
      </w:r>
      <w:r w:rsidR="005663FB">
        <w:rPr>
          <w:rFonts w:ascii="Calibri" w:hAnsi="Calibri" w:cs="Calibri"/>
          <w:sz w:val="22"/>
          <w:szCs w:val="22"/>
          <w:lang w:val="en-US"/>
        </w:rPr>
        <w:t xml:space="preserve"> </w:t>
      </w:r>
      <w:r w:rsidR="00223890">
        <w:rPr>
          <w:rFonts w:ascii="Calibri" w:hAnsi="Calibri" w:cs="Calibri"/>
          <w:sz w:val="22"/>
          <w:szCs w:val="22"/>
          <w:lang w:val="en-US"/>
        </w:rPr>
        <w:t xml:space="preserve">have been encouraged by </w:t>
      </w:r>
      <w:r w:rsidR="005663FB">
        <w:rPr>
          <w:rFonts w:ascii="Calibri" w:hAnsi="Calibri" w:cs="Calibri"/>
          <w:sz w:val="22"/>
          <w:szCs w:val="22"/>
          <w:lang w:val="en-US"/>
        </w:rPr>
        <w:t>many of the new restrictions</w:t>
      </w:r>
      <w:r w:rsidR="00223890">
        <w:rPr>
          <w:rFonts w:ascii="Calibri" w:hAnsi="Calibri" w:cs="Calibri"/>
          <w:sz w:val="22"/>
          <w:szCs w:val="22"/>
          <w:lang w:val="en-US"/>
        </w:rPr>
        <w:t xml:space="preserve"> introduced by the Gambling</w:t>
      </w:r>
      <w:r w:rsidR="00A93911">
        <w:rPr>
          <w:rFonts w:ascii="Calibri" w:hAnsi="Calibri" w:cs="Calibri"/>
          <w:sz w:val="22"/>
          <w:szCs w:val="22"/>
          <w:lang w:val="en-US"/>
        </w:rPr>
        <w:t xml:space="preserve"> Commission</w:t>
      </w:r>
      <w:r w:rsidR="0082205D">
        <w:rPr>
          <w:rFonts w:ascii="Calibri" w:hAnsi="Calibri" w:cs="Calibri"/>
          <w:sz w:val="22"/>
          <w:szCs w:val="22"/>
          <w:lang w:val="en-US"/>
        </w:rPr>
        <w:t xml:space="preserve"> over recent years</w:t>
      </w:r>
      <w:r w:rsidR="00A43110">
        <w:rPr>
          <w:rFonts w:ascii="Calibri" w:hAnsi="Calibri" w:cs="Calibri"/>
          <w:sz w:val="22"/>
          <w:szCs w:val="22"/>
          <w:lang w:val="en-US"/>
        </w:rPr>
        <w:t xml:space="preserve">. </w:t>
      </w:r>
      <w:r w:rsidR="005663FB">
        <w:rPr>
          <w:rFonts w:ascii="Calibri" w:hAnsi="Calibri" w:cs="Calibri"/>
          <w:sz w:val="22"/>
          <w:szCs w:val="22"/>
          <w:lang w:val="en-US"/>
        </w:rPr>
        <w:t xml:space="preserve"> </w:t>
      </w:r>
      <w:r w:rsidR="00A43110">
        <w:rPr>
          <w:rFonts w:ascii="Calibri" w:hAnsi="Calibri" w:cs="Calibri"/>
          <w:sz w:val="22"/>
          <w:szCs w:val="22"/>
          <w:lang w:val="en-US"/>
        </w:rPr>
        <w:t xml:space="preserve">However, </w:t>
      </w:r>
      <w:r w:rsidR="005663FB">
        <w:rPr>
          <w:rFonts w:ascii="Calibri" w:hAnsi="Calibri" w:cs="Calibri"/>
          <w:sz w:val="22"/>
          <w:szCs w:val="22"/>
          <w:lang w:val="en-US"/>
        </w:rPr>
        <w:t xml:space="preserve">we believe that </w:t>
      </w:r>
      <w:r w:rsidR="00A43110">
        <w:rPr>
          <w:rFonts w:ascii="Calibri" w:hAnsi="Calibri" w:cs="Calibri"/>
          <w:sz w:val="22"/>
          <w:szCs w:val="22"/>
          <w:lang w:val="en-US"/>
        </w:rPr>
        <w:t xml:space="preserve">these can only hope to </w:t>
      </w:r>
      <w:r w:rsidR="00AB48A4">
        <w:rPr>
          <w:rFonts w:ascii="Calibri" w:hAnsi="Calibri" w:cs="Calibri"/>
          <w:sz w:val="22"/>
          <w:szCs w:val="22"/>
          <w:lang w:val="en-US"/>
        </w:rPr>
        <w:t xml:space="preserve">go some way to </w:t>
      </w:r>
      <w:r w:rsidR="00A43110">
        <w:rPr>
          <w:rFonts w:ascii="Calibri" w:hAnsi="Calibri" w:cs="Calibri"/>
          <w:sz w:val="22"/>
          <w:szCs w:val="22"/>
          <w:lang w:val="en-US"/>
        </w:rPr>
        <w:t xml:space="preserve">ameliorate harms that have accumulated </w:t>
      </w:r>
      <w:r w:rsidR="0082205D">
        <w:rPr>
          <w:rFonts w:ascii="Calibri" w:hAnsi="Calibri" w:cs="Calibri"/>
          <w:sz w:val="22"/>
          <w:szCs w:val="22"/>
          <w:lang w:val="en-US"/>
        </w:rPr>
        <w:t>since the liberalisation of gambling in 2005</w:t>
      </w:r>
      <w:r w:rsidR="00A43110">
        <w:rPr>
          <w:rFonts w:ascii="Calibri" w:hAnsi="Calibri" w:cs="Calibri"/>
          <w:sz w:val="22"/>
          <w:szCs w:val="22"/>
          <w:lang w:val="en-US"/>
        </w:rPr>
        <w:t xml:space="preserve">. </w:t>
      </w:r>
      <w:r w:rsidR="00E27BAE">
        <w:rPr>
          <w:rFonts w:ascii="Calibri" w:hAnsi="Calibri" w:cs="Calibri"/>
          <w:sz w:val="22"/>
          <w:szCs w:val="22"/>
          <w:lang w:val="en-US"/>
        </w:rPr>
        <w:t xml:space="preserve"> This review is a once in a generation opportunity to place peoples’ safety, health and wellbeing at the heart of a public health response to this endemic problem.  We urge the government to act courageously, without further delay. </w:t>
      </w:r>
    </w:p>
    <w:p w:rsidR="00767773" w:rsidRDefault="00767773" w:rsidP="00A365EC">
      <w:pPr>
        <w:pStyle w:val="ecxmsonormal"/>
        <w:spacing w:after="0"/>
        <w:jc w:val="both"/>
        <w:rPr>
          <w:rFonts w:ascii="Calibri" w:hAnsi="Calibri" w:cs="Calibri"/>
          <w:sz w:val="22"/>
          <w:szCs w:val="22"/>
          <w:lang w:val="en-US"/>
        </w:rPr>
      </w:pPr>
    </w:p>
    <w:p w:rsidR="00A365EC" w:rsidRDefault="00767773" w:rsidP="00025635">
      <w:pPr>
        <w:pStyle w:val="ecxmsonormal"/>
        <w:spacing w:after="0"/>
        <w:jc w:val="both"/>
        <w:rPr>
          <w:rFonts w:ascii="Calibri" w:hAnsi="Calibri" w:cs="Calibri"/>
          <w:sz w:val="22"/>
          <w:szCs w:val="22"/>
          <w:lang w:val="en-US"/>
        </w:rPr>
      </w:pPr>
      <w:r>
        <w:rPr>
          <w:rFonts w:ascii="Calibri" w:hAnsi="Calibri" w:cs="Calibri"/>
          <w:sz w:val="22"/>
          <w:szCs w:val="22"/>
          <w:lang w:val="en-US"/>
        </w:rPr>
        <w:t>T</w:t>
      </w:r>
      <w:r w:rsidR="003062B1">
        <w:rPr>
          <w:rFonts w:ascii="Calibri" w:hAnsi="Calibri" w:cs="Calibri"/>
          <w:sz w:val="22"/>
          <w:szCs w:val="22"/>
          <w:lang w:val="en-US"/>
        </w:rPr>
        <w:t>he t</w:t>
      </w:r>
      <w:r>
        <w:rPr>
          <w:rFonts w:ascii="Calibri" w:hAnsi="Calibri" w:cs="Calibri"/>
          <w:sz w:val="22"/>
          <w:szCs w:val="22"/>
          <w:lang w:val="en-US"/>
        </w:rPr>
        <w:t xml:space="preserve">wo </w:t>
      </w:r>
      <w:r w:rsidR="003062B1">
        <w:rPr>
          <w:rFonts w:ascii="Calibri" w:hAnsi="Calibri" w:cs="Calibri"/>
          <w:sz w:val="22"/>
          <w:szCs w:val="22"/>
          <w:lang w:val="en-US"/>
        </w:rPr>
        <w:t>important and extensive</w:t>
      </w:r>
      <w:r>
        <w:rPr>
          <w:rFonts w:ascii="Calibri" w:hAnsi="Calibri" w:cs="Calibri"/>
          <w:sz w:val="22"/>
          <w:szCs w:val="22"/>
          <w:lang w:val="en-US"/>
        </w:rPr>
        <w:t xml:space="preserve"> reports published </w:t>
      </w:r>
      <w:r w:rsidR="00E27BAE">
        <w:rPr>
          <w:rFonts w:ascii="Calibri" w:hAnsi="Calibri" w:cs="Calibri"/>
          <w:sz w:val="22"/>
          <w:szCs w:val="22"/>
          <w:lang w:val="en-US"/>
        </w:rPr>
        <w:t>in 2020</w:t>
      </w:r>
      <w:r w:rsidR="003062B1">
        <w:rPr>
          <w:rFonts w:ascii="Calibri" w:hAnsi="Calibri" w:cs="Calibri"/>
          <w:sz w:val="22"/>
          <w:szCs w:val="22"/>
          <w:lang w:val="en-US"/>
        </w:rPr>
        <w:t>,</w:t>
      </w:r>
      <w:r w:rsidR="003062B1" w:rsidRPr="003062B1">
        <w:rPr>
          <w:rFonts w:ascii="Calibri" w:hAnsi="Calibri" w:cs="Calibri"/>
          <w:sz w:val="22"/>
          <w:szCs w:val="22"/>
          <w:lang w:val="en-US"/>
        </w:rPr>
        <w:t xml:space="preserve"> </w:t>
      </w:r>
      <w:r w:rsidR="003062B1">
        <w:rPr>
          <w:rFonts w:ascii="Calibri" w:hAnsi="Calibri" w:cs="Calibri"/>
          <w:sz w:val="22"/>
          <w:szCs w:val="22"/>
          <w:lang w:val="en-US"/>
        </w:rPr>
        <w:t>‘Gambling Harm – Time for Action’</w:t>
      </w:r>
      <w:r w:rsidR="003062B1">
        <w:rPr>
          <w:rStyle w:val="FootnoteReference"/>
          <w:rFonts w:ascii="Calibri" w:hAnsi="Calibri" w:cs="Calibri"/>
          <w:sz w:val="22"/>
          <w:szCs w:val="22"/>
          <w:lang w:val="en-US"/>
        </w:rPr>
        <w:footnoteReference w:id="2"/>
      </w:r>
      <w:r w:rsidR="003062B1">
        <w:rPr>
          <w:rFonts w:ascii="Calibri" w:hAnsi="Calibri" w:cs="Calibri"/>
          <w:sz w:val="22"/>
          <w:szCs w:val="22"/>
          <w:lang w:val="en-US"/>
        </w:rPr>
        <w:t xml:space="preserve"> and </w:t>
      </w:r>
      <w:r w:rsidR="001C3F53">
        <w:rPr>
          <w:rFonts w:ascii="Calibri" w:hAnsi="Calibri" w:cs="Calibri"/>
          <w:sz w:val="22"/>
          <w:szCs w:val="22"/>
          <w:lang w:val="en-US"/>
        </w:rPr>
        <w:t>‘</w:t>
      </w:r>
      <w:r w:rsidRPr="00767773">
        <w:rPr>
          <w:rFonts w:ascii="Calibri" w:hAnsi="Calibri" w:cs="Calibri"/>
          <w:sz w:val="22"/>
          <w:szCs w:val="22"/>
          <w:lang w:val="en-US"/>
        </w:rPr>
        <w:t>Online Gambling Harm</w:t>
      </w:r>
      <w:r>
        <w:rPr>
          <w:rFonts w:ascii="Calibri" w:hAnsi="Calibri" w:cs="Calibri"/>
          <w:sz w:val="22"/>
          <w:szCs w:val="22"/>
          <w:lang w:val="en-US"/>
        </w:rPr>
        <w:t xml:space="preserve"> </w:t>
      </w:r>
      <w:r w:rsidRPr="00767773">
        <w:rPr>
          <w:rFonts w:ascii="Calibri" w:hAnsi="Calibri" w:cs="Calibri"/>
          <w:sz w:val="22"/>
          <w:szCs w:val="22"/>
          <w:lang w:val="en-US"/>
        </w:rPr>
        <w:t>Inquiry</w:t>
      </w:r>
      <w:r w:rsidR="003062B1">
        <w:rPr>
          <w:rFonts w:ascii="Calibri" w:hAnsi="Calibri" w:cs="Calibri"/>
          <w:sz w:val="22"/>
          <w:szCs w:val="22"/>
          <w:lang w:val="en-US"/>
        </w:rPr>
        <w:t>, Final Report</w:t>
      </w:r>
      <w:r w:rsidR="001C3F53">
        <w:rPr>
          <w:rFonts w:ascii="Calibri" w:hAnsi="Calibri" w:cs="Calibri"/>
          <w:sz w:val="22"/>
          <w:szCs w:val="22"/>
          <w:lang w:val="en-US"/>
        </w:rPr>
        <w:t>’</w:t>
      </w:r>
      <w:r w:rsidR="003062B1">
        <w:rPr>
          <w:rStyle w:val="FootnoteReference"/>
          <w:rFonts w:ascii="Calibri" w:hAnsi="Calibri" w:cs="Calibri"/>
          <w:sz w:val="22"/>
          <w:szCs w:val="22"/>
          <w:lang w:val="en-US"/>
        </w:rPr>
        <w:footnoteReference w:id="3"/>
      </w:r>
      <w:r w:rsidR="003062B1">
        <w:rPr>
          <w:rFonts w:ascii="Calibri" w:hAnsi="Calibri" w:cs="Calibri"/>
          <w:sz w:val="22"/>
          <w:szCs w:val="22"/>
          <w:lang w:val="en-US"/>
        </w:rPr>
        <w:t xml:space="preserve">, each collated substantial evidence from experts in a wide range of disciplines and perspectives, including those with lived experience of gambling-related harm. </w:t>
      </w:r>
      <w:r w:rsidR="00254BBD">
        <w:rPr>
          <w:rFonts w:ascii="Calibri" w:hAnsi="Calibri" w:cs="Calibri"/>
          <w:sz w:val="22"/>
          <w:szCs w:val="22"/>
          <w:lang w:val="en-US"/>
        </w:rPr>
        <w:t xml:space="preserve"> </w:t>
      </w:r>
      <w:r w:rsidR="003C0F7C">
        <w:rPr>
          <w:rFonts w:ascii="Calibri" w:hAnsi="Calibri" w:cs="Calibri"/>
          <w:sz w:val="22"/>
          <w:szCs w:val="22"/>
          <w:lang w:val="en-US"/>
        </w:rPr>
        <w:t xml:space="preserve">The Gambling Harm Alliance has submitted its own response to this consultation and we fully support its recommendations.  </w:t>
      </w:r>
      <w:r w:rsidR="003062B1">
        <w:rPr>
          <w:rFonts w:ascii="Calibri" w:hAnsi="Calibri" w:cs="Calibri"/>
          <w:sz w:val="22"/>
          <w:szCs w:val="22"/>
          <w:lang w:val="en-US"/>
        </w:rPr>
        <w:t xml:space="preserve">In the interest of brevity, </w:t>
      </w:r>
      <w:r w:rsidR="003C0F7C">
        <w:rPr>
          <w:rFonts w:ascii="Calibri" w:hAnsi="Calibri" w:cs="Calibri"/>
          <w:sz w:val="22"/>
          <w:szCs w:val="22"/>
          <w:lang w:val="en-US"/>
        </w:rPr>
        <w:t xml:space="preserve">and to avoid duplication, </w:t>
      </w:r>
      <w:r w:rsidR="003062B1">
        <w:rPr>
          <w:rFonts w:ascii="Calibri" w:hAnsi="Calibri" w:cs="Calibri"/>
          <w:sz w:val="22"/>
          <w:szCs w:val="22"/>
          <w:lang w:val="en-US"/>
        </w:rPr>
        <w:t xml:space="preserve">we </w:t>
      </w:r>
      <w:r w:rsidR="003C0F7C">
        <w:rPr>
          <w:rFonts w:ascii="Calibri" w:hAnsi="Calibri" w:cs="Calibri"/>
          <w:sz w:val="22"/>
          <w:szCs w:val="22"/>
          <w:lang w:val="en-US"/>
        </w:rPr>
        <w:t xml:space="preserve">have limited </w:t>
      </w:r>
      <w:r w:rsidR="00E27BAE">
        <w:rPr>
          <w:rFonts w:ascii="Calibri" w:hAnsi="Calibri" w:cs="Calibri"/>
          <w:sz w:val="22"/>
          <w:szCs w:val="22"/>
          <w:lang w:val="en-US"/>
        </w:rPr>
        <w:t>our submission</w:t>
      </w:r>
      <w:r w:rsidR="003C0F7C">
        <w:rPr>
          <w:rFonts w:ascii="Calibri" w:hAnsi="Calibri" w:cs="Calibri"/>
          <w:sz w:val="22"/>
          <w:szCs w:val="22"/>
          <w:lang w:val="en-US"/>
        </w:rPr>
        <w:t xml:space="preserve"> </w:t>
      </w:r>
      <w:r w:rsidR="00E27BAE">
        <w:rPr>
          <w:rFonts w:ascii="Calibri" w:hAnsi="Calibri" w:cs="Calibri"/>
          <w:sz w:val="22"/>
          <w:szCs w:val="22"/>
          <w:lang w:val="en-US"/>
        </w:rPr>
        <w:t xml:space="preserve">to a focus on what we regard as </w:t>
      </w:r>
      <w:r w:rsidR="003062B1">
        <w:rPr>
          <w:rFonts w:ascii="Calibri" w:hAnsi="Calibri" w:cs="Calibri"/>
          <w:sz w:val="22"/>
          <w:szCs w:val="22"/>
          <w:lang w:val="en-US"/>
        </w:rPr>
        <w:t>key principles for consideration.</w:t>
      </w:r>
    </w:p>
    <w:p w:rsidR="003062B1" w:rsidRPr="00767773" w:rsidRDefault="003062B1" w:rsidP="00025635">
      <w:pPr>
        <w:pStyle w:val="ecxmsonormal"/>
        <w:spacing w:after="0"/>
        <w:jc w:val="both"/>
        <w:rPr>
          <w:rFonts w:ascii="Calibri" w:hAnsi="Calibri" w:cs="Calibri"/>
          <w:sz w:val="22"/>
          <w:szCs w:val="22"/>
          <w:lang w:val="en-US"/>
        </w:rPr>
      </w:pPr>
    </w:p>
    <w:p w:rsidR="00A93911" w:rsidRPr="00A365EC" w:rsidRDefault="00F24362" w:rsidP="00D566D6">
      <w:pPr>
        <w:pStyle w:val="ecxmsonormal"/>
        <w:numPr>
          <w:ilvl w:val="0"/>
          <w:numId w:val="4"/>
        </w:numPr>
        <w:spacing w:after="120"/>
        <w:ind w:left="284" w:hanging="284"/>
        <w:jc w:val="both"/>
        <w:rPr>
          <w:rFonts w:ascii="Calibri" w:hAnsi="Calibri" w:cs="Calibri"/>
          <w:b/>
          <w:sz w:val="22"/>
          <w:szCs w:val="22"/>
          <w:lang w:val="en-US"/>
        </w:rPr>
      </w:pPr>
      <w:r w:rsidRPr="00A365EC">
        <w:rPr>
          <w:rFonts w:ascii="Calibri" w:hAnsi="Calibri" w:cs="Calibri"/>
          <w:b/>
          <w:sz w:val="22"/>
          <w:szCs w:val="22"/>
          <w:lang w:val="en-US"/>
        </w:rPr>
        <w:t>A NEW GAMBLING ACT IS NEEDED AS A MATTER OF URGENCY</w:t>
      </w:r>
    </w:p>
    <w:p w:rsidR="00260D46" w:rsidRDefault="001530F3" w:rsidP="00C204F0">
      <w:pPr>
        <w:pStyle w:val="ecxmsonormal"/>
        <w:spacing w:after="0"/>
        <w:jc w:val="both"/>
        <w:rPr>
          <w:rFonts w:ascii="Calibri" w:hAnsi="Calibri" w:cs="Calibri"/>
          <w:sz w:val="22"/>
          <w:szCs w:val="22"/>
          <w:lang w:val="en-US"/>
        </w:rPr>
      </w:pPr>
      <w:r>
        <w:rPr>
          <w:rFonts w:ascii="Calibri" w:hAnsi="Calibri" w:cs="Calibri"/>
          <w:sz w:val="22"/>
          <w:szCs w:val="22"/>
          <w:lang w:val="en-US"/>
        </w:rPr>
        <w:t xml:space="preserve">In </w:t>
      </w:r>
      <w:r w:rsidRPr="005663FB">
        <w:rPr>
          <w:rFonts w:ascii="Calibri" w:hAnsi="Calibri" w:cs="Calibri"/>
          <w:sz w:val="22"/>
          <w:szCs w:val="22"/>
          <w:lang w:val="en-US"/>
        </w:rPr>
        <w:t>his Ministerial Forward for this consultat</w:t>
      </w:r>
      <w:r w:rsidR="00FB2A58">
        <w:rPr>
          <w:rFonts w:ascii="Calibri" w:hAnsi="Calibri" w:cs="Calibri"/>
          <w:sz w:val="22"/>
          <w:szCs w:val="22"/>
          <w:lang w:val="en-US"/>
        </w:rPr>
        <w:t>ion, Nigel Huddleston highlight</w:t>
      </w:r>
      <w:r w:rsidRPr="005663FB">
        <w:rPr>
          <w:rFonts w:ascii="Calibri" w:hAnsi="Calibri" w:cs="Calibri"/>
          <w:sz w:val="22"/>
          <w:szCs w:val="22"/>
          <w:lang w:val="en-US"/>
        </w:rPr>
        <w:t>s the review’s objective to make sure the 2005 Act is ‘</w:t>
      </w:r>
      <w:r w:rsidRPr="001530F3">
        <w:rPr>
          <w:rFonts w:ascii="Calibri" w:hAnsi="Calibri" w:cs="Calibri"/>
          <w:i/>
          <w:sz w:val="22"/>
          <w:szCs w:val="22"/>
          <w:lang w:val="en-US"/>
        </w:rPr>
        <w:t>fit</w:t>
      </w:r>
      <w:r w:rsidRPr="005663FB">
        <w:rPr>
          <w:rFonts w:ascii="Calibri" w:hAnsi="Calibri" w:cs="Calibri"/>
          <w:i/>
          <w:sz w:val="22"/>
          <w:szCs w:val="22"/>
          <w:lang w:val="en-US"/>
        </w:rPr>
        <w:t xml:space="preserve"> for the digital age’</w:t>
      </w:r>
      <w:r w:rsidRPr="005663FB">
        <w:rPr>
          <w:rFonts w:ascii="Calibri" w:hAnsi="Calibri" w:cs="Calibri"/>
          <w:sz w:val="22"/>
          <w:szCs w:val="22"/>
          <w:lang w:val="en-US"/>
        </w:rPr>
        <w:t xml:space="preserve">.  It is our belief that a new Act is needed, rather than continuing to build on an Act which has failed in its objectives to protect young and </w:t>
      </w:r>
      <w:r>
        <w:rPr>
          <w:rFonts w:ascii="Calibri" w:hAnsi="Calibri" w:cs="Calibri"/>
          <w:sz w:val="22"/>
          <w:szCs w:val="22"/>
          <w:lang w:val="en-US"/>
        </w:rPr>
        <w:t xml:space="preserve">other </w:t>
      </w:r>
      <w:r w:rsidRPr="005663FB">
        <w:rPr>
          <w:rFonts w:ascii="Calibri" w:hAnsi="Calibri" w:cs="Calibri"/>
          <w:sz w:val="22"/>
          <w:szCs w:val="22"/>
          <w:lang w:val="en-US"/>
        </w:rPr>
        <w:t>vulnerable customers</w:t>
      </w:r>
      <w:r>
        <w:rPr>
          <w:rFonts w:ascii="Calibri" w:hAnsi="Calibri" w:cs="Calibri"/>
          <w:sz w:val="22"/>
          <w:szCs w:val="22"/>
          <w:lang w:val="en-US"/>
        </w:rPr>
        <w:t xml:space="preserve"> from being harmed and exploited</w:t>
      </w:r>
      <w:r w:rsidRPr="005663FB">
        <w:rPr>
          <w:rFonts w:ascii="Calibri" w:hAnsi="Calibri" w:cs="Calibri"/>
          <w:sz w:val="22"/>
          <w:szCs w:val="22"/>
          <w:lang w:val="en-US"/>
        </w:rPr>
        <w:t>, and to ensure that gambling is conducted in a fair and open way.</w:t>
      </w:r>
      <w:r w:rsidR="00F24362">
        <w:rPr>
          <w:rFonts w:ascii="Calibri" w:hAnsi="Calibri" w:cs="Calibri"/>
          <w:sz w:val="22"/>
          <w:szCs w:val="22"/>
          <w:lang w:val="en-US"/>
        </w:rPr>
        <w:t xml:space="preserve"> </w:t>
      </w:r>
      <w:r w:rsidR="00E25CFF">
        <w:rPr>
          <w:rFonts w:ascii="Calibri" w:hAnsi="Calibri" w:cs="Calibri"/>
          <w:sz w:val="22"/>
          <w:szCs w:val="22"/>
          <w:lang w:val="en-US"/>
        </w:rPr>
        <w:t>We believe</w:t>
      </w:r>
      <w:r w:rsidR="00E25CFF" w:rsidRPr="002B3283">
        <w:rPr>
          <w:rFonts w:ascii="Calibri" w:hAnsi="Calibri" w:cs="Calibri"/>
          <w:sz w:val="22"/>
          <w:szCs w:val="22"/>
          <w:lang w:val="en-US"/>
        </w:rPr>
        <w:t xml:space="preserve"> that the 2005 Act, and the Budd Report which informed it, were based on </w:t>
      </w:r>
      <w:r w:rsidR="00E25CFF">
        <w:rPr>
          <w:rFonts w:ascii="Calibri" w:hAnsi="Calibri" w:cs="Calibri"/>
          <w:sz w:val="22"/>
          <w:szCs w:val="22"/>
          <w:lang w:val="en-US"/>
        </w:rPr>
        <w:t>a fundamentally flawed premis</w:t>
      </w:r>
      <w:r w:rsidR="00AB48A4">
        <w:rPr>
          <w:rFonts w:ascii="Calibri" w:hAnsi="Calibri" w:cs="Calibri"/>
          <w:sz w:val="22"/>
          <w:szCs w:val="22"/>
          <w:lang w:val="en-US"/>
        </w:rPr>
        <w:t>e</w:t>
      </w:r>
      <w:r w:rsidR="00E25CFF" w:rsidRPr="002B3283">
        <w:rPr>
          <w:rFonts w:ascii="Calibri" w:hAnsi="Calibri" w:cs="Calibri"/>
          <w:sz w:val="22"/>
          <w:szCs w:val="22"/>
          <w:lang w:val="en-US"/>
        </w:rPr>
        <w:t>, namely that gambling is essentially a for</w:t>
      </w:r>
      <w:r w:rsidR="00260D46">
        <w:rPr>
          <w:rFonts w:ascii="Calibri" w:hAnsi="Calibri" w:cs="Calibri"/>
          <w:sz w:val="22"/>
          <w:szCs w:val="22"/>
          <w:lang w:val="en-US"/>
        </w:rPr>
        <w:t>m of harmless entertainment.</w:t>
      </w:r>
      <w:r w:rsidR="00E25CFF">
        <w:rPr>
          <w:rFonts w:ascii="Calibri" w:hAnsi="Calibri" w:cs="Calibri"/>
          <w:sz w:val="22"/>
          <w:szCs w:val="22"/>
          <w:lang w:val="en-US"/>
        </w:rPr>
        <w:t xml:space="preserve"> </w:t>
      </w:r>
      <w:r w:rsidR="00633422">
        <w:rPr>
          <w:rFonts w:ascii="Calibri" w:hAnsi="Calibri" w:cs="Calibri"/>
          <w:sz w:val="22"/>
          <w:szCs w:val="22"/>
          <w:lang w:val="en-US"/>
        </w:rPr>
        <w:t xml:space="preserve">We support Professor Jim Orford’s view that </w:t>
      </w:r>
      <w:r w:rsidR="00633422" w:rsidRPr="00E25CFF">
        <w:rPr>
          <w:rFonts w:ascii="Calibri" w:hAnsi="Calibri" w:cs="Calibri"/>
          <w:i/>
          <w:sz w:val="22"/>
          <w:szCs w:val="22"/>
        </w:rPr>
        <w:t xml:space="preserve">‘...gambling is not simply an ordinary entertainment product. </w:t>
      </w:r>
      <w:r w:rsidR="00633422" w:rsidRPr="00E25CFF">
        <w:rPr>
          <w:rFonts w:ascii="Calibri" w:hAnsi="Calibri" w:cs="Calibri"/>
          <w:i/>
          <w:sz w:val="22"/>
          <w:szCs w:val="22"/>
        </w:rPr>
        <w:lastRenderedPageBreak/>
        <w:t>Gambling, by its very nature, has always had the potential to be dangerously addictive and, due to modern technological changes, has recently become more so.</w:t>
      </w:r>
      <w:r w:rsidR="00633422">
        <w:rPr>
          <w:rFonts w:ascii="Calibri" w:hAnsi="Calibri" w:cs="Calibri"/>
          <w:i/>
          <w:sz w:val="22"/>
          <w:szCs w:val="22"/>
        </w:rPr>
        <w:t>’</w:t>
      </w:r>
      <w:r w:rsidR="00633422">
        <w:rPr>
          <w:rStyle w:val="FootnoteReference"/>
          <w:rFonts w:ascii="Calibri" w:hAnsi="Calibri" w:cs="Calibri"/>
          <w:i/>
          <w:sz w:val="22"/>
          <w:szCs w:val="22"/>
        </w:rPr>
        <w:footnoteReference w:id="4"/>
      </w:r>
    </w:p>
    <w:p w:rsidR="00633422" w:rsidRDefault="00633422" w:rsidP="00021573">
      <w:pPr>
        <w:pStyle w:val="ecxmsonormal"/>
        <w:spacing w:after="0"/>
        <w:jc w:val="both"/>
        <w:rPr>
          <w:rFonts w:ascii="Calibri" w:hAnsi="Calibri" w:cs="Calibri"/>
          <w:sz w:val="22"/>
          <w:szCs w:val="22"/>
          <w:lang w:val="en-US"/>
        </w:rPr>
      </w:pPr>
    </w:p>
    <w:p w:rsidR="009A571B" w:rsidRDefault="00260D46" w:rsidP="00021573">
      <w:pPr>
        <w:pStyle w:val="ecxmsonormal"/>
        <w:spacing w:after="0"/>
        <w:jc w:val="both"/>
        <w:rPr>
          <w:rFonts w:ascii="Calibri" w:hAnsi="Calibri" w:cs="Calibri"/>
          <w:sz w:val="22"/>
          <w:szCs w:val="22"/>
          <w:lang w:val="en-US"/>
        </w:rPr>
      </w:pPr>
      <w:r>
        <w:rPr>
          <w:rFonts w:ascii="Calibri" w:hAnsi="Calibri" w:cs="Calibri"/>
          <w:sz w:val="22"/>
          <w:szCs w:val="22"/>
          <w:lang w:val="en-US"/>
        </w:rPr>
        <w:t xml:space="preserve">Through the industry’s influence on, and funding of, gambling research, the </w:t>
      </w:r>
      <w:r>
        <w:rPr>
          <w:rFonts w:ascii="Calibri" w:hAnsi="Calibri" w:cs="Calibri"/>
          <w:sz w:val="22"/>
          <w:szCs w:val="22"/>
        </w:rPr>
        <w:t>p</w:t>
      </w:r>
      <w:r w:rsidRPr="002B3283">
        <w:rPr>
          <w:rFonts w:ascii="Calibri" w:hAnsi="Calibri" w:cs="Calibri"/>
          <w:sz w:val="22"/>
          <w:szCs w:val="22"/>
        </w:rPr>
        <w:t xml:space="preserve">ublic discourse </w:t>
      </w:r>
      <w:r>
        <w:rPr>
          <w:rFonts w:ascii="Calibri" w:hAnsi="Calibri" w:cs="Calibri"/>
          <w:sz w:val="22"/>
          <w:szCs w:val="22"/>
        </w:rPr>
        <w:t xml:space="preserve">has been shaped by its commercial interests, </w:t>
      </w:r>
      <w:r>
        <w:rPr>
          <w:rFonts w:ascii="Calibri" w:hAnsi="Calibri" w:cs="Calibri"/>
          <w:sz w:val="22"/>
          <w:szCs w:val="22"/>
          <w:lang w:val="en-US"/>
        </w:rPr>
        <w:t>promoting the view that</w:t>
      </w:r>
      <w:r w:rsidR="00E25CFF" w:rsidRPr="002B3283">
        <w:rPr>
          <w:rFonts w:ascii="Calibri" w:hAnsi="Calibri" w:cs="Calibri"/>
          <w:sz w:val="22"/>
          <w:szCs w:val="22"/>
          <w:lang w:val="en-US"/>
        </w:rPr>
        <w:t xml:space="preserve"> only a </w:t>
      </w:r>
      <w:r w:rsidR="00254BBD">
        <w:rPr>
          <w:rFonts w:ascii="Calibri" w:hAnsi="Calibri" w:cs="Calibri"/>
          <w:sz w:val="22"/>
          <w:szCs w:val="22"/>
          <w:lang w:val="en-US"/>
        </w:rPr>
        <w:t xml:space="preserve">very small </w:t>
      </w:r>
      <w:r w:rsidR="00E25CFF" w:rsidRPr="002B3283">
        <w:rPr>
          <w:rFonts w:ascii="Calibri" w:hAnsi="Calibri" w:cs="Calibri"/>
          <w:sz w:val="22"/>
          <w:szCs w:val="22"/>
          <w:lang w:val="en-US"/>
        </w:rPr>
        <w:t>minority of individu</w:t>
      </w:r>
      <w:r w:rsidR="0020549A">
        <w:rPr>
          <w:rFonts w:ascii="Calibri" w:hAnsi="Calibri" w:cs="Calibri"/>
          <w:sz w:val="22"/>
          <w:szCs w:val="22"/>
          <w:lang w:val="en-US"/>
        </w:rPr>
        <w:t>als experience harm</w:t>
      </w:r>
      <w:r w:rsidR="00254BBD">
        <w:rPr>
          <w:rFonts w:ascii="Calibri" w:hAnsi="Calibri" w:cs="Calibri"/>
          <w:sz w:val="22"/>
          <w:szCs w:val="22"/>
          <w:lang w:val="en-US"/>
        </w:rPr>
        <w:t>, thereby</w:t>
      </w:r>
      <w:r w:rsidR="0020549A">
        <w:rPr>
          <w:rFonts w:ascii="Calibri" w:hAnsi="Calibri" w:cs="Calibri"/>
          <w:sz w:val="22"/>
          <w:szCs w:val="22"/>
          <w:lang w:val="en-US"/>
        </w:rPr>
        <w:t xml:space="preserve"> placing responsibility for harms they experience on their choices</w:t>
      </w:r>
      <w:r w:rsidR="00254BBD">
        <w:rPr>
          <w:rFonts w:ascii="Calibri" w:hAnsi="Calibri" w:cs="Calibri"/>
          <w:sz w:val="22"/>
          <w:szCs w:val="22"/>
          <w:lang w:val="en-US"/>
        </w:rPr>
        <w:t xml:space="preserve">, </w:t>
      </w:r>
      <w:r w:rsidR="0020549A">
        <w:rPr>
          <w:rFonts w:ascii="Calibri" w:hAnsi="Calibri" w:cs="Calibri"/>
          <w:sz w:val="22"/>
          <w:szCs w:val="22"/>
          <w:lang w:val="en-US"/>
        </w:rPr>
        <w:t>behaviour</w:t>
      </w:r>
      <w:r w:rsidR="00254BBD">
        <w:rPr>
          <w:rFonts w:ascii="Calibri" w:hAnsi="Calibri" w:cs="Calibri"/>
          <w:sz w:val="22"/>
          <w:szCs w:val="22"/>
          <w:lang w:val="en-US"/>
        </w:rPr>
        <w:t xml:space="preserve"> or personal pathology</w:t>
      </w:r>
      <w:r w:rsidR="0020549A">
        <w:rPr>
          <w:rFonts w:ascii="Calibri" w:hAnsi="Calibri" w:cs="Calibri"/>
          <w:sz w:val="22"/>
          <w:szCs w:val="22"/>
          <w:lang w:val="en-US"/>
        </w:rPr>
        <w:t>.</w:t>
      </w:r>
      <w:r w:rsidR="001530F3">
        <w:rPr>
          <w:rFonts w:ascii="Calibri" w:hAnsi="Calibri" w:cs="Calibri"/>
          <w:sz w:val="22"/>
          <w:szCs w:val="22"/>
          <w:lang w:val="en-US"/>
        </w:rPr>
        <w:t xml:space="preserve"> </w:t>
      </w:r>
      <w:r>
        <w:rPr>
          <w:rFonts w:ascii="Calibri" w:hAnsi="Calibri" w:cs="Calibri"/>
          <w:sz w:val="22"/>
          <w:szCs w:val="22"/>
          <w:lang w:val="en-US"/>
        </w:rPr>
        <w:t xml:space="preserve"> </w:t>
      </w:r>
      <w:r w:rsidR="009A571B">
        <w:rPr>
          <w:rFonts w:ascii="Calibri" w:hAnsi="Calibri" w:cs="Calibri"/>
          <w:sz w:val="22"/>
          <w:szCs w:val="22"/>
          <w:lang w:val="en-US"/>
        </w:rPr>
        <w:t xml:space="preserve">In the light of accumulating evidence of the extensive and enduring harms experienced </w:t>
      </w:r>
      <w:r w:rsidR="00254BBD">
        <w:rPr>
          <w:rFonts w:ascii="Calibri" w:hAnsi="Calibri" w:cs="Calibri"/>
          <w:sz w:val="22"/>
          <w:szCs w:val="22"/>
          <w:lang w:val="en-US"/>
        </w:rPr>
        <w:t xml:space="preserve">at a population level </w:t>
      </w:r>
      <w:r w:rsidR="009A571B">
        <w:rPr>
          <w:rFonts w:ascii="Calibri" w:hAnsi="Calibri" w:cs="Calibri"/>
          <w:sz w:val="22"/>
          <w:szCs w:val="22"/>
          <w:lang w:val="en-US"/>
        </w:rPr>
        <w:t>by individuals, families, and communities, we would suggest that a rebalancing of priorities and adjustments to current regulations would only serve to perpetuate the problems that this approach has created.</w:t>
      </w:r>
    </w:p>
    <w:p w:rsidR="004467CD" w:rsidRDefault="004467CD" w:rsidP="00021573">
      <w:pPr>
        <w:pStyle w:val="ecxmsonormal"/>
        <w:spacing w:after="0"/>
        <w:jc w:val="both"/>
        <w:rPr>
          <w:rFonts w:ascii="Calibri" w:hAnsi="Calibri" w:cs="Calibri"/>
          <w:sz w:val="22"/>
          <w:szCs w:val="22"/>
          <w:lang w:val="en-US"/>
        </w:rPr>
      </w:pPr>
    </w:p>
    <w:p w:rsidR="00A93911" w:rsidRPr="001C35A3" w:rsidRDefault="00260D46" w:rsidP="00021573">
      <w:pPr>
        <w:pStyle w:val="ecxmsonormal"/>
        <w:spacing w:after="0"/>
        <w:jc w:val="both"/>
        <w:rPr>
          <w:rFonts w:ascii="Calibri" w:hAnsi="Calibri" w:cs="Calibri"/>
          <w:sz w:val="22"/>
          <w:szCs w:val="22"/>
          <w:lang w:val="en-US"/>
        </w:rPr>
      </w:pPr>
      <w:r>
        <w:rPr>
          <w:rFonts w:ascii="Calibri" w:hAnsi="Calibri" w:cs="Calibri"/>
          <w:sz w:val="22"/>
          <w:szCs w:val="22"/>
          <w:lang w:val="en-US"/>
        </w:rPr>
        <w:t xml:space="preserve">In its stated objectives for this review, the government suggests that </w:t>
      </w:r>
      <w:r w:rsidR="00E25CFF">
        <w:rPr>
          <w:rFonts w:ascii="Calibri" w:hAnsi="Calibri" w:cs="Calibri"/>
          <w:sz w:val="22"/>
          <w:szCs w:val="22"/>
          <w:lang w:val="en-US"/>
        </w:rPr>
        <w:t xml:space="preserve">there needs to be </w:t>
      </w:r>
      <w:r w:rsidR="00E25CFF" w:rsidRPr="00955229">
        <w:rPr>
          <w:rFonts w:ascii="Calibri" w:hAnsi="Calibri" w:cs="Calibri"/>
          <w:i/>
          <w:sz w:val="22"/>
          <w:szCs w:val="22"/>
          <w:lang w:val="en-US"/>
        </w:rPr>
        <w:t>‘an appropriate balance between consumer freedoms and choice… and prevention of harm to vulnerable groups and wider communities</w:t>
      </w:r>
      <w:r w:rsidR="00830296">
        <w:rPr>
          <w:rFonts w:ascii="Calibri" w:hAnsi="Calibri" w:cs="Calibri"/>
          <w:i/>
          <w:sz w:val="22"/>
          <w:szCs w:val="22"/>
          <w:lang w:val="en-US"/>
        </w:rPr>
        <w:t>…</w:t>
      </w:r>
      <w:r w:rsidR="00830296" w:rsidRPr="00955229">
        <w:rPr>
          <w:rFonts w:ascii="Calibri" w:hAnsi="Calibri" w:cs="Calibri"/>
          <w:i/>
          <w:sz w:val="22"/>
          <w:szCs w:val="22"/>
          <w:lang w:val="en-US"/>
        </w:rPr>
        <w:t>’</w:t>
      </w:r>
      <w:r w:rsidR="00E25CFF">
        <w:rPr>
          <w:rStyle w:val="FootnoteReference"/>
          <w:rFonts w:ascii="Calibri" w:hAnsi="Calibri" w:cs="Calibri"/>
          <w:i/>
          <w:sz w:val="22"/>
          <w:szCs w:val="22"/>
          <w:lang w:val="en-US"/>
        </w:rPr>
        <w:footnoteReference w:id="5"/>
      </w:r>
      <w:r w:rsidR="00E25CFF">
        <w:rPr>
          <w:rFonts w:ascii="Calibri" w:hAnsi="Calibri" w:cs="Calibri"/>
          <w:sz w:val="22"/>
          <w:szCs w:val="22"/>
          <w:lang w:val="en-US"/>
        </w:rPr>
        <w:t xml:space="preserve">  </w:t>
      </w:r>
      <w:r w:rsidR="001530F3">
        <w:rPr>
          <w:rFonts w:ascii="Calibri" w:hAnsi="Calibri" w:cs="Calibri"/>
          <w:sz w:val="22"/>
          <w:szCs w:val="22"/>
          <w:lang w:val="en-US"/>
        </w:rPr>
        <w:t>By way of response</w:t>
      </w:r>
      <w:r w:rsidR="00254BBD">
        <w:rPr>
          <w:rFonts w:ascii="Calibri" w:hAnsi="Calibri" w:cs="Calibri"/>
          <w:sz w:val="22"/>
          <w:szCs w:val="22"/>
          <w:lang w:val="en-US"/>
        </w:rPr>
        <w:t>, w</w:t>
      </w:r>
      <w:r w:rsidR="001C35A3">
        <w:rPr>
          <w:rFonts w:ascii="Calibri" w:hAnsi="Calibri" w:cs="Calibri"/>
          <w:sz w:val="22"/>
          <w:szCs w:val="22"/>
          <w:lang w:val="en-US"/>
        </w:rPr>
        <w:t xml:space="preserve">e </w:t>
      </w:r>
      <w:r w:rsidR="0020549A">
        <w:rPr>
          <w:rFonts w:ascii="Calibri" w:hAnsi="Calibri" w:cs="Calibri"/>
          <w:sz w:val="22"/>
          <w:szCs w:val="22"/>
          <w:lang w:val="en-US"/>
        </w:rPr>
        <w:t>would like to</w:t>
      </w:r>
      <w:r w:rsidR="001C35A3" w:rsidRPr="001C35A3">
        <w:rPr>
          <w:rFonts w:ascii="Calibri" w:hAnsi="Calibri" w:cs="Calibri"/>
          <w:sz w:val="22"/>
          <w:szCs w:val="22"/>
          <w:lang w:val="en-US"/>
        </w:rPr>
        <w:t xml:space="preserve"> reiterate our position, provided in written evidence to the Culture, M</w:t>
      </w:r>
      <w:r w:rsidR="00633422">
        <w:rPr>
          <w:rFonts w:ascii="Calibri" w:hAnsi="Calibri" w:cs="Calibri"/>
          <w:sz w:val="22"/>
          <w:szCs w:val="22"/>
          <w:lang w:val="en-US"/>
        </w:rPr>
        <w:t>edia and Sport Committee in 2011</w:t>
      </w:r>
      <w:r w:rsidR="001C35A3" w:rsidRPr="001C35A3">
        <w:rPr>
          <w:rFonts w:ascii="Calibri" w:hAnsi="Calibri" w:cs="Calibri"/>
          <w:sz w:val="22"/>
          <w:szCs w:val="22"/>
          <w:lang w:val="en-US"/>
        </w:rPr>
        <w:t>:</w:t>
      </w:r>
    </w:p>
    <w:p w:rsidR="006A3703" w:rsidRDefault="006A3703" w:rsidP="00021573">
      <w:pPr>
        <w:pStyle w:val="ecxmsonormal"/>
        <w:spacing w:after="0"/>
        <w:jc w:val="both"/>
        <w:rPr>
          <w:rFonts w:ascii="Calibri" w:hAnsi="Calibri" w:cs="Calibri"/>
          <w:sz w:val="22"/>
          <w:szCs w:val="22"/>
          <w:lang w:val="en-US"/>
        </w:rPr>
      </w:pPr>
    </w:p>
    <w:p w:rsidR="00BB2ACF" w:rsidRDefault="006A3703" w:rsidP="00507BBD">
      <w:pPr>
        <w:pStyle w:val="ecxmsonormal"/>
        <w:spacing w:after="0"/>
        <w:ind w:left="567" w:right="992"/>
        <w:jc w:val="both"/>
        <w:rPr>
          <w:rFonts w:ascii="Calibri" w:hAnsi="Calibri" w:cs="Calibri"/>
          <w:i/>
          <w:sz w:val="22"/>
          <w:szCs w:val="22"/>
          <w:lang w:val="en-US"/>
        </w:rPr>
      </w:pPr>
      <w:r w:rsidRPr="001C35A3">
        <w:rPr>
          <w:rFonts w:ascii="Calibri" w:hAnsi="Calibri" w:cs="Calibri"/>
          <w:i/>
          <w:sz w:val="22"/>
          <w:szCs w:val="22"/>
          <w:lang w:val="en-US"/>
        </w:rPr>
        <w:t>‘The moral and practical question for legislators – which was not squarely faced when the Gambling Act was passed - is whether profit for the industry, and an increase in gambling opportunities for the consumer are worth [these] human costs.’</w:t>
      </w:r>
      <w:r w:rsidRPr="001C35A3">
        <w:rPr>
          <w:rStyle w:val="FootnoteReference"/>
          <w:rFonts w:ascii="Calibri" w:hAnsi="Calibri" w:cs="Calibri"/>
          <w:i/>
          <w:sz w:val="22"/>
          <w:szCs w:val="22"/>
          <w:lang w:val="en-US"/>
        </w:rPr>
        <w:footnoteReference w:id="6"/>
      </w:r>
      <w:r w:rsidRPr="00B85623">
        <w:rPr>
          <w:rFonts w:ascii="Calibri" w:hAnsi="Calibri" w:cs="Calibri"/>
          <w:i/>
          <w:sz w:val="22"/>
          <w:szCs w:val="22"/>
          <w:lang w:val="en-US"/>
        </w:rPr>
        <w:t xml:space="preserve"> </w:t>
      </w:r>
    </w:p>
    <w:p w:rsidR="008420F7" w:rsidRDefault="008420F7" w:rsidP="001C35A3">
      <w:pPr>
        <w:pStyle w:val="ecxmsonormal"/>
        <w:spacing w:after="0"/>
        <w:ind w:left="720"/>
        <w:jc w:val="both"/>
        <w:rPr>
          <w:rFonts w:ascii="Calibri" w:hAnsi="Calibri" w:cs="Calibri"/>
          <w:i/>
          <w:sz w:val="22"/>
          <w:szCs w:val="22"/>
          <w:lang w:val="en-US"/>
        </w:rPr>
      </w:pPr>
    </w:p>
    <w:p w:rsidR="00615142" w:rsidRPr="008420F7" w:rsidRDefault="00615142" w:rsidP="00D566D6">
      <w:pPr>
        <w:pStyle w:val="ecxmsonormal"/>
        <w:numPr>
          <w:ilvl w:val="0"/>
          <w:numId w:val="4"/>
        </w:numPr>
        <w:spacing w:after="120"/>
        <w:ind w:left="284" w:hanging="284"/>
        <w:jc w:val="both"/>
        <w:rPr>
          <w:rFonts w:asciiTheme="minorHAnsi" w:hAnsiTheme="minorHAnsi" w:cstheme="minorHAnsi"/>
          <w:b/>
          <w:sz w:val="22"/>
          <w:szCs w:val="22"/>
          <w:lang w:val="en-US"/>
        </w:rPr>
      </w:pPr>
      <w:r w:rsidRPr="000162A6">
        <w:rPr>
          <w:rFonts w:asciiTheme="minorHAnsi" w:hAnsiTheme="minorHAnsi" w:cstheme="minorHAnsi"/>
          <w:b/>
          <w:sz w:val="22"/>
          <w:szCs w:val="22"/>
          <w:lang w:val="en-US"/>
        </w:rPr>
        <w:t xml:space="preserve">New legislation should be based on a public health approach, with prevention as its keystone </w:t>
      </w:r>
      <w:r w:rsidR="0024039C">
        <w:rPr>
          <w:rFonts w:asciiTheme="minorHAnsi" w:hAnsiTheme="minorHAnsi" w:cstheme="minorHAnsi"/>
          <w:b/>
          <w:sz w:val="22"/>
          <w:szCs w:val="22"/>
          <w:lang w:val="en-US"/>
        </w:rPr>
        <w:t xml:space="preserve"> </w:t>
      </w:r>
    </w:p>
    <w:p w:rsidR="00615142" w:rsidRPr="000162A6" w:rsidRDefault="00615142" w:rsidP="00615142">
      <w:pPr>
        <w:pStyle w:val="ecxmsonormal"/>
        <w:spacing w:after="0"/>
        <w:jc w:val="both"/>
        <w:rPr>
          <w:rFonts w:asciiTheme="minorHAnsi" w:hAnsiTheme="minorHAnsi" w:cstheme="minorHAnsi"/>
          <w:sz w:val="22"/>
          <w:szCs w:val="22"/>
          <w:lang w:val="en-US"/>
        </w:rPr>
      </w:pPr>
      <w:r w:rsidRPr="000162A6">
        <w:rPr>
          <w:rFonts w:asciiTheme="minorHAnsi" w:hAnsiTheme="minorHAnsi" w:cstheme="minorHAnsi"/>
          <w:sz w:val="22"/>
          <w:szCs w:val="22"/>
          <w:lang w:val="en-US"/>
        </w:rPr>
        <w:t xml:space="preserve">We support calls by the APPG, the House of Lords Select Committee, and the Gambling Harm Alliance, amongst others, that future policy and regulation must be founded on a robust public health approach with a primary focus on prevention. </w:t>
      </w:r>
      <w:r w:rsidR="00161894">
        <w:rPr>
          <w:rFonts w:asciiTheme="minorHAnsi" w:hAnsiTheme="minorHAnsi" w:cstheme="minorHAnsi"/>
          <w:sz w:val="22"/>
          <w:szCs w:val="22"/>
          <w:lang w:val="en-US"/>
        </w:rPr>
        <w:t xml:space="preserve"> </w:t>
      </w:r>
      <w:r w:rsidRPr="000162A6">
        <w:rPr>
          <w:rFonts w:asciiTheme="minorHAnsi" w:hAnsiTheme="minorHAnsi" w:cstheme="minorHAnsi"/>
          <w:sz w:val="22"/>
          <w:szCs w:val="22"/>
          <w:lang w:val="en-US"/>
        </w:rPr>
        <w:t xml:space="preserve">This would build on the progress made with the introduction of recent measures e.g. the reduction of terrestrial FOBT maximum stakes and the ban on gambling with credit cards. </w:t>
      </w:r>
      <w:r w:rsidR="00161894">
        <w:rPr>
          <w:rFonts w:asciiTheme="minorHAnsi" w:hAnsiTheme="minorHAnsi" w:cstheme="minorHAnsi"/>
          <w:sz w:val="22"/>
          <w:szCs w:val="22"/>
          <w:lang w:val="en-US"/>
        </w:rPr>
        <w:t xml:space="preserve"> </w:t>
      </w:r>
      <w:r w:rsidRPr="000162A6">
        <w:rPr>
          <w:rFonts w:asciiTheme="minorHAnsi" w:hAnsiTheme="minorHAnsi" w:cstheme="minorHAnsi"/>
          <w:sz w:val="22"/>
          <w:szCs w:val="22"/>
          <w:lang w:val="en-US"/>
        </w:rPr>
        <w:t>It would place a clear priority on the identification and support of those harmed by gambling across the whole population at the earliest opportunity, not just reducing the development and prevalence of more serious harm but, potentially, also helping to break the cycle of parental gambling problems impacting on fut</w:t>
      </w:r>
      <w:r w:rsidR="000410BD">
        <w:rPr>
          <w:rFonts w:asciiTheme="minorHAnsi" w:hAnsiTheme="minorHAnsi" w:cstheme="minorHAnsi"/>
          <w:sz w:val="22"/>
          <w:szCs w:val="22"/>
          <w:lang w:val="en-US"/>
        </w:rPr>
        <w:t>ure generations’ lives and well</w:t>
      </w:r>
      <w:r w:rsidRPr="000162A6">
        <w:rPr>
          <w:rFonts w:asciiTheme="minorHAnsi" w:hAnsiTheme="minorHAnsi" w:cstheme="minorHAnsi"/>
          <w:sz w:val="22"/>
          <w:szCs w:val="22"/>
          <w:lang w:val="en-US"/>
        </w:rPr>
        <w:t>being.</w:t>
      </w:r>
    </w:p>
    <w:p w:rsidR="00615142" w:rsidRPr="000162A6" w:rsidRDefault="00615142" w:rsidP="00615142">
      <w:pPr>
        <w:pStyle w:val="ecxmsonormal"/>
        <w:spacing w:after="0"/>
        <w:jc w:val="both"/>
        <w:rPr>
          <w:rFonts w:asciiTheme="minorHAnsi" w:hAnsiTheme="minorHAnsi" w:cstheme="minorHAnsi"/>
          <w:sz w:val="22"/>
          <w:szCs w:val="22"/>
          <w:lang w:val="en-US"/>
        </w:rPr>
      </w:pPr>
    </w:p>
    <w:p w:rsidR="00615142" w:rsidRPr="000162A6" w:rsidRDefault="0072103B" w:rsidP="00615142">
      <w:pPr>
        <w:pStyle w:val="ecxmsonormal"/>
        <w:spacing w:after="0"/>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Independent </w:t>
      </w:r>
      <w:r w:rsidR="0024039C" w:rsidRPr="0024039C">
        <w:rPr>
          <w:rFonts w:asciiTheme="minorHAnsi" w:hAnsiTheme="minorHAnsi" w:cstheme="minorHAnsi"/>
          <w:b/>
          <w:sz w:val="22"/>
          <w:szCs w:val="22"/>
          <w:lang w:val="en-US"/>
        </w:rPr>
        <w:t>research</w:t>
      </w:r>
      <w:r w:rsidR="0024039C">
        <w:rPr>
          <w:rFonts w:asciiTheme="minorHAnsi" w:hAnsiTheme="minorHAnsi" w:cstheme="minorHAnsi"/>
          <w:sz w:val="22"/>
          <w:szCs w:val="22"/>
          <w:lang w:val="en-US"/>
        </w:rPr>
        <w:t xml:space="preserve">: </w:t>
      </w:r>
      <w:r w:rsidR="00615142" w:rsidRPr="000162A6">
        <w:rPr>
          <w:rFonts w:asciiTheme="minorHAnsi" w:hAnsiTheme="minorHAnsi" w:cstheme="minorHAnsi"/>
          <w:sz w:val="22"/>
          <w:szCs w:val="22"/>
          <w:lang w:val="en-US"/>
        </w:rPr>
        <w:t xml:space="preserve">The current lack of UK longitudinal research into the susceptibility of risk amongst different sub-groups within the whole population needs to be addressed as a matter of priority. Sustainably funded, entirely independent research would inform future policy and regulatory decisions within a public health framework. In addition, we suggest that the National Gambling Prevalence survey should be reinstated as soon as possible to ensure that up to date, consistent data are available for this purpose. In addition, it is crucial that any new measures to address harms are subject to piloting and independent evaluation, to build a body of evidence about what works for future planning and development. </w:t>
      </w:r>
    </w:p>
    <w:p w:rsidR="00615142" w:rsidRPr="000162A6" w:rsidRDefault="00615142" w:rsidP="00615142">
      <w:pPr>
        <w:pStyle w:val="ecxmsonormal"/>
        <w:spacing w:after="0"/>
        <w:jc w:val="both"/>
        <w:rPr>
          <w:rFonts w:asciiTheme="minorHAnsi" w:hAnsiTheme="minorHAnsi" w:cstheme="minorHAnsi"/>
          <w:sz w:val="22"/>
          <w:szCs w:val="22"/>
          <w:lang w:val="en-US"/>
        </w:rPr>
      </w:pPr>
    </w:p>
    <w:p w:rsidR="00615142" w:rsidRPr="000162A6" w:rsidRDefault="0024039C" w:rsidP="00615142">
      <w:pPr>
        <w:pStyle w:val="ecxmsonormal"/>
        <w:spacing w:after="0"/>
        <w:jc w:val="both"/>
        <w:rPr>
          <w:rFonts w:asciiTheme="minorHAnsi" w:hAnsiTheme="minorHAnsi" w:cstheme="minorHAnsi"/>
          <w:sz w:val="22"/>
          <w:szCs w:val="22"/>
          <w:lang w:val="en-US"/>
        </w:rPr>
      </w:pPr>
      <w:r w:rsidRPr="0024039C">
        <w:rPr>
          <w:rFonts w:asciiTheme="minorHAnsi" w:hAnsiTheme="minorHAnsi" w:cstheme="minorHAnsi"/>
          <w:b/>
          <w:sz w:val="22"/>
          <w:szCs w:val="22"/>
          <w:lang w:val="en-US"/>
        </w:rPr>
        <w:t>Product characteristics:</w:t>
      </w:r>
      <w:r>
        <w:rPr>
          <w:rFonts w:asciiTheme="minorHAnsi" w:hAnsiTheme="minorHAnsi" w:cstheme="minorHAnsi"/>
          <w:sz w:val="22"/>
          <w:szCs w:val="22"/>
          <w:lang w:val="en-US"/>
        </w:rPr>
        <w:t xml:space="preserve"> </w:t>
      </w:r>
      <w:r w:rsidR="00615142" w:rsidRPr="000162A6">
        <w:rPr>
          <w:rFonts w:asciiTheme="minorHAnsi" w:hAnsiTheme="minorHAnsi" w:cstheme="minorHAnsi"/>
          <w:sz w:val="22"/>
          <w:szCs w:val="22"/>
          <w:lang w:val="en-US"/>
        </w:rPr>
        <w:t xml:space="preserve">For too long, the focus on individual ‘problem gamblers’ has diverted attention away from the dangers associated with sophisticated product characteristics and the impact of blanket advertising, promotions and accessibility which have grown exponentially as gambling has shifted online. This has served the commercial interests of the industry, linked as it is to its influence on research priorities, whilst ensuring that the development of effective preventative measures has been, at best, marginalised.  </w:t>
      </w:r>
      <w:r w:rsidR="00615142" w:rsidRPr="000162A6">
        <w:rPr>
          <w:rFonts w:asciiTheme="minorHAnsi" w:hAnsiTheme="minorHAnsi" w:cstheme="minorHAnsi"/>
          <w:sz w:val="22"/>
          <w:szCs w:val="22"/>
        </w:rPr>
        <w:t xml:space="preserve">The classification of gamblers as ‘problem’ or ‘at risk’ implies a static condition and a degree of inherent personal pathology. Data refer only to those who have been screened (using the PGSI </w:t>
      </w:r>
      <w:r w:rsidR="00615142" w:rsidRPr="000162A6">
        <w:rPr>
          <w:rFonts w:asciiTheme="minorHAnsi" w:hAnsiTheme="minorHAnsi" w:cstheme="minorHAnsi"/>
          <w:sz w:val="22"/>
          <w:szCs w:val="22"/>
        </w:rPr>
        <w:lastRenderedPageBreak/>
        <w:t>or DSM-IV)</w:t>
      </w:r>
      <w:r w:rsidR="0072103B">
        <w:rPr>
          <w:rFonts w:asciiTheme="minorHAnsi" w:hAnsiTheme="minorHAnsi" w:cstheme="minorHAnsi"/>
          <w:sz w:val="22"/>
          <w:szCs w:val="22"/>
        </w:rPr>
        <w:t xml:space="preserve">, and at a single point in time.  In addition, </w:t>
      </w:r>
      <w:r w:rsidR="00895BA5">
        <w:rPr>
          <w:rFonts w:asciiTheme="minorHAnsi" w:hAnsiTheme="minorHAnsi" w:cstheme="minorHAnsi"/>
          <w:sz w:val="22"/>
          <w:szCs w:val="22"/>
        </w:rPr>
        <w:t>many of those with high levels of problem gambling are not included in the data, such as</w:t>
      </w:r>
      <w:r w:rsidR="0072103B">
        <w:rPr>
          <w:rFonts w:asciiTheme="minorHAnsi" w:hAnsiTheme="minorHAnsi" w:cstheme="minorHAnsi"/>
          <w:sz w:val="22"/>
          <w:szCs w:val="22"/>
        </w:rPr>
        <w:t xml:space="preserve"> people living in institutional settings such as prisons and student halls of residence</w:t>
      </w:r>
      <w:r w:rsidR="00895BA5">
        <w:rPr>
          <w:rFonts w:asciiTheme="minorHAnsi" w:hAnsiTheme="minorHAnsi" w:cstheme="minorHAnsi"/>
          <w:sz w:val="22"/>
          <w:szCs w:val="22"/>
        </w:rPr>
        <w:t>, and the homeless</w:t>
      </w:r>
      <w:r w:rsidR="0072103B">
        <w:rPr>
          <w:rFonts w:asciiTheme="minorHAnsi" w:hAnsiTheme="minorHAnsi" w:cstheme="minorHAnsi"/>
          <w:sz w:val="22"/>
          <w:szCs w:val="22"/>
        </w:rPr>
        <w:t xml:space="preserve">. </w:t>
      </w:r>
      <w:r w:rsidR="00895BA5">
        <w:rPr>
          <w:rFonts w:asciiTheme="minorHAnsi" w:hAnsiTheme="minorHAnsi" w:cstheme="minorHAnsi"/>
          <w:sz w:val="22"/>
          <w:szCs w:val="22"/>
        </w:rPr>
        <w:t xml:space="preserve"> </w:t>
      </w:r>
      <w:r w:rsidR="0072103B">
        <w:rPr>
          <w:rFonts w:asciiTheme="minorHAnsi" w:hAnsiTheme="minorHAnsi" w:cstheme="minorHAnsi"/>
          <w:sz w:val="22"/>
          <w:szCs w:val="22"/>
        </w:rPr>
        <w:t>This</w:t>
      </w:r>
      <w:r w:rsidR="00895BA5">
        <w:rPr>
          <w:rFonts w:asciiTheme="minorHAnsi" w:hAnsiTheme="minorHAnsi" w:cstheme="minorHAnsi"/>
          <w:sz w:val="22"/>
          <w:szCs w:val="22"/>
        </w:rPr>
        <w:t xml:space="preserve"> has </w:t>
      </w:r>
      <w:r w:rsidR="0072103B">
        <w:rPr>
          <w:rFonts w:asciiTheme="minorHAnsi" w:hAnsiTheme="minorHAnsi" w:cstheme="minorHAnsi"/>
          <w:sz w:val="22"/>
          <w:szCs w:val="22"/>
        </w:rPr>
        <w:t>enable</w:t>
      </w:r>
      <w:r w:rsidR="00895BA5">
        <w:rPr>
          <w:rFonts w:asciiTheme="minorHAnsi" w:hAnsiTheme="minorHAnsi" w:cstheme="minorHAnsi"/>
          <w:sz w:val="22"/>
          <w:szCs w:val="22"/>
        </w:rPr>
        <w:t>d</w:t>
      </w:r>
      <w:r w:rsidR="00615142" w:rsidRPr="000162A6">
        <w:rPr>
          <w:rFonts w:asciiTheme="minorHAnsi" w:hAnsiTheme="minorHAnsi" w:cstheme="minorHAnsi"/>
          <w:sz w:val="22"/>
          <w:szCs w:val="22"/>
        </w:rPr>
        <w:t xml:space="preserve"> the industry to claim that only a very small minority of gamblers are seriously affected, and that this proportion has remained largely stable over several years.  </w:t>
      </w:r>
    </w:p>
    <w:p w:rsidR="00615142" w:rsidRPr="000162A6" w:rsidRDefault="00615142" w:rsidP="00615142">
      <w:pPr>
        <w:pStyle w:val="ecxmsonormal"/>
        <w:spacing w:after="0"/>
        <w:jc w:val="both"/>
        <w:rPr>
          <w:rFonts w:asciiTheme="minorHAnsi" w:hAnsiTheme="minorHAnsi" w:cstheme="minorHAnsi"/>
          <w:sz w:val="22"/>
          <w:szCs w:val="22"/>
        </w:rPr>
      </w:pPr>
    </w:p>
    <w:p w:rsidR="00615142" w:rsidRPr="000162A6" w:rsidRDefault="00615142" w:rsidP="00507BBD">
      <w:pPr>
        <w:pStyle w:val="ecxmsonormal"/>
        <w:spacing w:after="0"/>
        <w:ind w:left="567" w:right="992"/>
        <w:jc w:val="both"/>
        <w:rPr>
          <w:rFonts w:asciiTheme="minorHAnsi" w:hAnsiTheme="minorHAnsi" w:cstheme="minorHAnsi"/>
          <w:i/>
          <w:sz w:val="22"/>
          <w:szCs w:val="22"/>
        </w:rPr>
      </w:pPr>
      <w:r w:rsidRPr="000162A6">
        <w:rPr>
          <w:rFonts w:asciiTheme="minorHAnsi" w:hAnsiTheme="minorHAnsi" w:cstheme="minorHAnsi"/>
          <w:i/>
          <w:sz w:val="22"/>
          <w:szCs w:val="22"/>
        </w:rPr>
        <w:t>‘The number of problem gamblers in Britain should not be considered a robust measure of the total  number of people harmed by gambling and could conceivably be viewed as only representing the minimum number of people affected.’</w:t>
      </w:r>
      <w:r w:rsidRPr="000162A6">
        <w:rPr>
          <w:rStyle w:val="FootnoteReference"/>
          <w:rFonts w:asciiTheme="minorHAnsi" w:hAnsiTheme="minorHAnsi" w:cstheme="minorHAnsi"/>
          <w:sz w:val="22"/>
          <w:szCs w:val="22"/>
        </w:rPr>
        <w:t xml:space="preserve"> </w:t>
      </w:r>
      <w:r w:rsidRPr="000162A6">
        <w:rPr>
          <w:rStyle w:val="FootnoteReference"/>
          <w:rFonts w:asciiTheme="minorHAnsi" w:hAnsiTheme="minorHAnsi" w:cstheme="minorHAnsi"/>
          <w:sz w:val="22"/>
          <w:szCs w:val="22"/>
        </w:rPr>
        <w:footnoteReference w:id="7"/>
      </w:r>
    </w:p>
    <w:p w:rsidR="00615142" w:rsidRPr="000162A6" w:rsidRDefault="00615142" w:rsidP="00615142">
      <w:pPr>
        <w:pStyle w:val="ecxmsonormal"/>
        <w:spacing w:after="0"/>
        <w:jc w:val="both"/>
        <w:rPr>
          <w:rFonts w:asciiTheme="minorHAnsi" w:hAnsiTheme="minorHAnsi" w:cstheme="minorHAnsi"/>
          <w:i/>
          <w:sz w:val="22"/>
          <w:szCs w:val="22"/>
        </w:rPr>
      </w:pPr>
    </w:p>
    <w:p w:rsidR="00615142" w:rsidRPr="000162A6" w:rsidRDefault="00F24362" w:rsidP="00615142">
      <w:pPr>
        <w:pStyle w:val="ecxmsonormal"/>
        <w:spacing w:after="0"/>
        <w:jc w:val="both"/>
        <w:rPr>
          <w:rFonts w:asciiTheme="minorHAnsi" w:hAnsiTheme="minorHAnsi" w:cstheme="minorHAnsi"/>
          <w:i/>
          <w:sz w:val="22"/>
          <w:szCs w:val="22"/>
        </w:rPr>
      </w:pPr>
      <w:r w:rsidRPr="00F24362">
        <w:rPr>
          <w:rFonts w:asciiTheme="minorHAnsi" w:hAnsiTheme="minorHAnsi" w:cstheme="minorHAnsi"/>
          <w:b/>
          <w:sz w:val="22"/>
          <w:szCs w:val="22"/>
        </w:rPr>
        <w:t>‘Churn’:</w:t>
      </w:r>
      <w:r>
        <w:rPr>
          <w:rFonts w:asciiTheme="minorHAnsi" w:hAnsiTheme="minorHAnsi" w:cstheme="minorHAnsi"/>
          <w:sz w:val="22"/>
          <w:szCs w:val="22"/>
        </w:rPr>
        <w:t xml:space="preserve"> </w:t>
      </w:r>
      <w:r w:rsidR="00615142" w:rsidRPr="000162A6">
        <w:rPr>
          <w:rFonts w:asciiTheme="minorHAnsi" w:hAnsiTheme="minorHAnsi" w:cstheme="minorHAnsi"/>
          <w:sz w:val="22"/>
          <w:szCs w:val="22"/>
        </w:rPr>
        <w:t xml:space="preserve">Dependence on these data </w:t>
      </w:r>
      <w:r w:rsidR="00507BBD">
        <w:rPr>
          <w:rFonts w:asciiTheme="minorHAnsi" w:hAnsiTheme="minorHAnsi" w:cstheme="minorHAnsi"/>
          <w:sz w:val="22"/>
          <w:szCs w:val="22"/>
        </w:rPr>
        <w:t xml:space="preserve">also </w:t>
      </w:r>
      <w:r w:rsidR="00615142" w:rsidRPr="000162A6">
        <w:rPr>
          <w:rFonts w:asciiTheme="minorHAnsi" w:hAnsiTheme="minorHAnsi" w:cstheme="minorHAnsi"/>
          <w:sz w:val="22"/>
          <w:szCs w:val="22"/>
          <w:lang w:val="en-US"/>
        </w:rPr>
        <w:t>masks the high level of ‘churn’ amongst the gambling population i.e. the movement in and out of problematic gambling.  Longitudinal, international research found that less than half of problem gamblers remained so in the next reporting period, and that between 50% and 75% of problem gamblers were new cases</w:t>
      </w:r>
      <w:r w:rsidR="00615142" w:rsidRPr="000162A6">
        <w:rPr>
          <w:rStyle w:val="FootnoteReference"/>
          <w:rFonts w:asciiTheme="minorHAnsi" w:hAnsiTheme="minorHAnsi" w:cstheme="minorHAnsi"/>
          <w:sz w:val="22"/>
          <w:szCs w:val="22"/>
          <w:lang w:val="en-US"/>
        </w:rPr>
        <w:footnoteReference w:id="8"/>
      </w:r>
      <w:r w:rsidR="00615142" w:rsidRPr="000162A6">
        <w:rPr>
          <w:rFonts w:asciiTheme="minorHAnsi" w:hAnsiTheme="minorHAnsi" w:cstheme="minorHAnsi"/>
          <w:sz w:val="22"/>
          <w:szCs w:val="22"/>
          <w:lang w:val="en-US"/>
        </w:rPr>
        <w:t>.  Wardle et al have suggested that those moving ‘out’ will include people who have been incarcerated and those who have died as a result of their addiction, including by suicide</w:t>
      </w:r>
      <w:r w:rsidR="00615142" w:rsidRPr="000162A6">
        <w:rPr>
          <w:rStyle w:val="FootnoteReference"/>
          <w:rFonts w:asciiTheme="minorHAnsi" w:hAnsiTheme="minorHAnsi" w:cstheme="minorHAnsi"/>
          <w:sz w:val="22"/>
          <w:szCs w:val="22"/>
          <w:lang w:val="en-US"/>
        </w:rPr>
        <w:footnoteReference w:id="9"/>
      </w:r>
      <w:r w:rsidR="00615142" w:rsidRPr="000162A6">
        <w:rPr>
          <w:rFonts w:asciiTheme="minorHAnsi" w:hAnsiTheme="minorHAnsi" w:cstheme="minorHAnsi"/>
          <w:sz w:val="22"/>
          <w:szCs w:val="22"/>
          <w:lang w:val="en-US"/>
        </w:rPr>
        <w:t xml:space="preserve">. </w:t>
      </w:r>
    </w:p>
    <w:p w:rsidR="00615142" w:rsidRPr="000162A6" w:rsidRDefault="00615142" w:rsidP="00615142">
      <w:pPr>
        <w:pStyle w:val="ecxmsonormal"/>
        <w:spacing w:after="0"/>
        <w:jc w:val="both"/>
        <w:rPr>
          <w:rFonts w:asciiTheme="minorHAnsi" w:hAnsiTheme="minorHAnsi" w:cstheme="minorHAnsi"/>
          <w:sz w:val="22"/>
          <w:szCs w:val="22"/>
        </w:rPr>
      </w:pPr>
    </w:p>
    <w:p w:rsidR="00615142" w:rsidRPr="000162A6" w:rsidRDefault="00F24362" w:rsidP="00615142">
      <w:pPr>
        <w:pStyle w:val="ecxmsonormal"/>
        <w:spacing w:after="0"/>
        <w:jc w:val="both"/>
        <w:rPr>
          <w:rFonts w:asciiTheme="minorHAnsi" w:hAnsiTheme="minorHAnsi" w:cstheme="minorHAnsi"/>
          <w:sz w:val="22"/>
          <w:szCs w:val="22"/>
          <w:lang w:val="en-US"/>
        </w:rPr>
      </w:pPr>
      <w:r w:rsidRPr="00F24362">
        <w:rPr>
          <w:rFonts w:asciiTheme="minorHAnsi" w:hAnsiTheme="minorHAnsi" w:cstheme="minorHAnsi"/>
          <w:b/>
          <w:sz w:val="22"/>
          <w:szCs w:val="22"/>
        </w:rPr>
        <w:t>Screening:</w:t>
      </w:r>
      <w:r>
        <w:rPr>
          <w:rFonts w:asciiTheme="minorHAnsi" w:hAnsiTheme="minorHAnsi" w:cstheme="minorHAnsi"/>
          <w:sz w:val="22"/>
          <w:szCs w:val="22"/>
        </w:rPr>
        <w:t xml:space="preserve"> </w:t>
      </w:r>
      <w:r w:rsidR="00615142" w:rsidRPr="000162A6">
        <w:rPr>
          <w:rFonts w:asciiTheme="minorHAnsi" w:hAnsiTheme="minorHAnsi" w:cstheme="minorHAnsi"/>
          <w:sz w:val="22"/>
          <w:szCs w:val="22"/>
        </w:rPr>
        <w:t>Currently, n</w:t>
      </w:r>
      <w:r w:rsidR="00615142" w:rsidRPr="000162A6">
        <w:rPr>
          <w:rFonts w:asciiTheme="minorHAnsi" w:hAnsiTheme="minorHAnsi" w:cstheme="minorHAnsi"/>
          <w:sz w:val="22"/>
          <w:szCs w:val="22"/>
          <w:lang w:val="en-US"/>
        </w:rPr>
        <w:t>either the PGSI nor the DSM-IV asks questions abou</w:t>
      </w:r>
      <w:r w:rsidR="00DE5254">
        <w:rPr>
          <w:rFonts w:asciiTheme="minorHAnsi" w:hAnsiTheme="minorHAnsi" w:cstheme="minorHAnsi"/>
          <w:sz w:val="22"/>
          <w:szCs w:val="22"/>
          <w:lang w:val="en-US"/>
        </w:rPr>
        <w:t xml:space="preserve">t emotional or financial harm </w:t>
      </w:r>
      <w:r w:rsidR="00615142" w:rsidRPr="000162A6">
        <w:rPr>
          <w:rFonts w:asciiTheme="minorHAnsi" w:hAnsiTheme="minorHAnsi" w:cstheme="minorHAnsi"/>
          <w:sz w:val="22"/>
          <w:szCs w:val="22"/>
          <w:lang w:val="en-US"/>
        </w:rPr>
        <w:t>or about the impact on close others, nor are these data collected at a population level. Such harms typically endure well beyond periods of active gambling, exacerbating (and being exacerbated by) pre-ex</w:t>
      </w:r>
      <w:r w:rsidR="000E70BF">
        <w:rPr>
          <w:rFonts w:asciiTheme="minorHAnsi" w:hAnsiTheme="minorHAnsi" w:cstheme="minorHAnsi"/>
          <w:sz w:val="22"/>
          <w:szCs w:val="22"/>
          <w:lang w:val="en-US"/>
        </w:rPr>
        <w:t>isting factors such as poverty,</w:t>
      </w:r>
      <w:r w:rsidR="00507BBD">
        <w:rPr>
          <w:rFonts w:asciiTheme="minorHAnsi" w:hAnsiTheme="minorHAnsi" w:cstheme="minorHAnsi"/>
          <w:sz w:val="22"/>
          <w:szCs w:val="22"/>
          <w:lang w:val="en-US"/>
        </w:rPr>
        <w:t xml:space="preserve"> substance misuse,</w:t>
      </w:r>
      <w:r w:rsidR="00615142" w:rsidRPr="000162A6">
        <w:rPr>
          <w:rFonts w:asciiTheme="minorHAnsi" w:hAnsiTheme="minorHAnsi" w:cstheme="minorHAnsi"/>
          <w:sz w:val="22"/>
          <w:szCs w:val="22"/>
          <w:lang w:val="en-US"/>
        </w:rPr>
        <w:t xml:space="preserve"> and mental ill-health. For some families, the permanent scars of bankruptcy, incarceration, and suicide have profound, long-term cons</w:t>
      </w:r>
      <w:r w:rsidR="000410BD">
        <w:rPr>
          <w:rFonts w:asciiTheme="minorHAnsi" w:hAnsiTheme="minorHAnsi" w:cstheme="minorHAnsi"/>
          <w:sz w:val="22"/>
          <w:szCs w:val="22"/>
          <w:lang w:val="en-US"/>
        </w:rPr>
        <w:t>equences for their health, well</w:t>
      </w:r>
      <w:r w:rsidR="00615142" w:rsidRPr="000162A6">
        <w:rPr>
          <w:rFonts w:asciiTheme="minorHAnsi" w:hAnsiTheme="minorHAnsi" w:cstheme="minorHAnsi"/>
          <w:sz w:val="22"/>
          <w:szCs w:val="22"/>
          <w:lang w:val="en-US"/>
        </w:rPr>
        <w:t xml:space="preserve">being and financial security. It is essential that longitudinal research is undertaken to establish the full extent, duration and impact of </w:t>
      </w:r>
      <w:r w:rsidR="00507BBD">
        <w:rPr>
          <w:rFonts w:asciiTheme="minorHAnsi" w:hAnsiTheme="minorHAnsi" w:cstheme="minorHAnsi"/>
          <w:sz w:val="22"/>
          <w:szCs w:val="22"/>
          <w:lang w:val="en-US"/>
        </w:rPr>
        <w:t xml:space="preserve">such </w:t>
      </w:r>
      <w:r w:rsidR="00615142" w:rsidRPr="000162A6">
        <w:rPr>
          <w:rFonts w:asciiTheme="minorHAnsi" w:hAnsiTheme="minorHAnsi" w:cstheme="minorHAnsi"/>
          <w:sz w:val="22"/>
          <w:szCs w:val="22"/>
          <w:lang w:val="en-US"/>
        </w:rPr>
        <w:t>experience</w:t>
      </w:r>
      <w:r w:rsidR="00507BBD">
        <w:rPr>
          <w:rFonts w:asciiTheme="minorHAnsi" w:hAnsiTheme="minorHAnsi" w:cstheme="minorHAnsi"/>
          <w:sz w:val="22"/>
          <w:szCs w:val="22"/>
          <w:lang w:val="en-US"/>
        </w:rPr>
        <w:t>s</w:t>
      </w:r>
      <w:r w:rsidR="00615142" w:rsidRPr="000162A6">
        <w:rPr>
          <w:rFonts w:asciiTheme="minorHAnsi" w:hAnsiTheme="minorHAnsi" w:cstheme="minorHAnsi"/>
          <w:sz w:val="22"/>
          <w:szCs w:val="22"/>
          <w:lang w:val="en-US"/>
        </w:rPr>
        <w:t xml:space="preserve"> so that support can be targeted most effectively and appropriately.</w:t>
      </w:r>
    </w:p>
    <w:p w:rsidR="00615142" w:rsidRPr="000162A6" w:rsidRDefault="00615142" w:rsidP="00615142">
      <w:pPr>
        <w:pStyle w:val="ecxmsonormal"/>
        <w:spacing w:after="0"/>
        <w:jc w:val="both"/>
        <w:rPr>
          <w:rFonts w:asciiTheme="minorHAnsi" w:hAnsiTheme="minorHAnsi" w:cstheme="minorHAnsi"/>
          <w:sz w:val="22"/>
          <w:szCs w:val="22"/>
          <w:lang w:val="en-US"/>
        </w:rPr>
      </w:pPr>
    </w:p>
    <w:p w:rsidR="00615142" w:rsidRDefault="00F24362" w:rsidP="00615142">
      <w:pPr>
        <w:pStyle w:val="ecxmsonormal"/>
        <w:spacing w:after="0"/>
        <w:jc w:val="both"/>
        <w:rPr>
          <w:rFonts w:asciiTheme="minorHAnsi" w:hAnsiTheme="minorHAnsi" w:cstheme="minorHAnsi"/>
          <w:sz w:val="22"/>
          <w:szCs w:val="22"/>
        </w:rPr>
      </w:pPr>
      <w:r w:rsidRPr="00F24362">
        <w:rPr>
          <w:rFonts w:asciiTheme="minorHAnsi" w:hAnsiTheme="minorHAnsi" w:cstheme="minorHAnsi"/>
          <w:b/>
          <w:sz w:val="22"/>
          <w:szCs w:val="22"/>
        </w:rPr>
        <w:t>‘Vulnerability’</w:t>
      </w:r>
      <w:r>
        <w:rPr>
          <w:rFonts w:asciiTheme="minorHAnsi" w:hAnsiTheme="minorHAnsi" w:cstheme="minorHAnsi"/>
          <w:sz w:val="22"/>
          <w:szCs w:val="22"/>
        </w:rPr>
        <w:t xml:space="preserve">: </w:t>
      </w:r>
      <w:r w:rsidR="00615142" w:rsidRPr="000162A6">
        <w:rPr>
          <w:rFonts w:asciiTheme="minorHAnsi" w:hAnsiTheme="minorHAnsi" w:cstheme="minorHAnsi"/>
          <w:sz w:val="22"/>
          <w:szCs w:val="22"/>
        </w:rPr>
        <w:t>A public health approach could also be used to revise some of the language in this context which may have reinforced perceptions and assumptions, shaping the discourse regarding potential solutions and regulation.  For example, in</w:t>
      </w:r>
      <w:r w:rsidR="00615142" w:rsidRPr="000162A6">
        <w:rPr>
          <w:rFonts w:asciiTheme="minorHAnsi" w:hAnsiTheme="minorHAnsi" w:cstheme="minorHAnsi"/>
          <w:sz w:val="22"/>
          <w:szCs w:val="22"/>
          <w:lang w:val="en-US"/>
        </w:rPr>
        <w:t xml:space="preserve"> written evidence to the House of Lords inquiry</w:t>
      </w:r>
      <w:r w:rsidR="00615142" w:rsidRPr="000162A6">
        <w:rPr>
          <w:rStyle w:val="FootnoteReference"/>
          <w:rFonts w:asciiTheme="minorHAnsi" w:hAnsiTheme="minorHAnsi" w:cstheme="minorHAnsi"/>
          <w:sz w:val="22"/>
          <w:szCs w:val="22"/>
          <w:lang w:val="en-US"/>
        </w:rPr>
        <w:footnoteReference w:id="10"/>
      </w:r>
      <w:r w:rsidR="00615142" w:rsidRPr="000162A6">
        <w:rPr>
          <w:rFonts w:asciiTheme="minorHAnsi" w:hAnsiTheme="minorHAnsi" w:cstheme="minorHAnsi"/>
          <w:sz w:val="22"/>
          <w:szCs w:val="22"/>
          <w:lang w:val="en-US"/>
        </w:rPr>
        <w:t xml:space="preserve">, Dr Carolyn Downs (Senior Lecturer, Lancaster University) stated that </w:t>
      </w:r>
      <w:r w:rsidR="00615142" w:rsidRPr="000162A6">
        <w:rPr>
          <w:rFonts w:asciiTheme="minorHAnsi" w:hAnsiTheme="minorHAnsi" w:cstheme="minorHAnsi"/>
          <w:i/>
          <w:sz w:val="22"/>
          <w:szCs w:val="22"/>
          <w:lang w:val="en-US"/>
        </w:rPr>
        <w:t xml:space="preserve">‘there is no definition of who might be considered a vulnerable person.’ </w:t>
      </w:r>
      <w:r w:rsidR="00615142" w:rsidRPr="000162A6">
        <w:rPr>
          <w:rFonts w:asciiTheme="minorHAnsi" w:hAnsiTheme="minorHAnsi" w:cstheme="minorHAnsi"/>
          <w:sz w:val="22"/>
          <w:szCs w:val="22"/>
        </w:rPr>
        <w:t xml:space="preserve">Clearly, risk factors such as youth, poverty and mental ill-health already inform harm reduction and treatment measures. However, describing individuals or groups as ‘vulnerable’, without a clear definition of the term, may offer the public false reassurance that it is only ‘those people’ who are at risk. Having listened to the testimonies of people with lived experience, including close others, and </w:t>
      </w:r>
      <w:r w:rsidR="00D27A16">
        <w:rPr>
          <w:rFonts w:asciiTheme="minorHAnsi" w:hAnsiTheme="minorHAnsi" w:cstheme="minorHAnsi"/>
          <w:sz w:val="22"/>
          <w:szCs w:val="22"/>
        </w:rPr>
        <w:t xml:space="preserve">to </w:t>
      </w:r>
      <w:r w:rsidR="00615142" w:rsidRPr="000162A6">
        <w:rPr>
          <w:rFonts w:asciiTheme="minorHAnsi" w:hAnsiTheme="minorHAnsi" w:cstheme="minorHAnsi"/>
          <w:sz w:val="22"/>
          <w:szCs w:val="22"/>
        </w:rPr>
        <w:t>experts</w:t>
      </w:r>
      <w:r w:rsidR="00D27A16">
        <w:rPr>
          <w:rFonts w:asciiTheme="minorHAnsi" w:hAnsiTheme="minorHAnsi" w:cstheme="minorHAnsi"/>
          <w:sz w:val="22"/>
          <w:szCs w:val="22"/>
        </w:rPr>
        <w:t xml:space="preserve"> in</w:t>
      </w:r>
      <w:r w:rsidR="00615142" w:rsidRPr="000162A6">
        <w:rPr>
          <w:rFonts w:asciiTheme="minorHAnsi" w:hAnsiTheme="minorHAnsi" w:cstheme="minorHAnsi"/>
          <w:sz w:val="22"/>
          <w:szCs w:val="22"/>
        </w:rPr>
        <w:t xml:space="preserve"> neuroscience and technology, we cannot help but conclude that the majority of people who gamble are at some level of risk and, without early intervention and public education, this may further escalate over time.</w:t>
      </w:r>
    </w:p>
    <w:p w:rsidR="00161894" w:rsidRDefault="00161894" w:rsidP="00615142">
      <w:pPr>
        <w:pStyle w:val="ecxmsonormal"/>
        <w:spacing w:after="0"/>
        <w:jc w:val="both"/>
        <w:rPr>
          <w:rFonts w:asciiTheme="minorHAnsi" w:hAnsiTheme="minorHAnsi" w:cstheme="minorHAnsi"/>
          <w:sz w:val="22"/>
          <w:szCs w:val="22"/>
        </w:rPr>
      </w:pPr>
    </w:p>
    <w:p w:rsidR="00F24362" w:rsidRDefault="00F24362" w:rsidP="00F24362">
      <w:pPr>
        <w:pStyle w:val="ecxmsonormal"/>
        <w:spacing w:after="0"/>
        <w:jc w:val="both"/>
        <w:rPr>
          <w:rFonts w:asciiTheme="minorHAnsi" w:hAnsiTheme="minorHAnsi" w:cstheme="minorHAnsi"/>
          <w:sz w:val="22"/>
          <w:szCs w:val="22"/>
        </w:rPr>
      </w:pPr>
      <w:r w:rsidRPr="00F24362">
        <w:rPr>
          <w:rFonts w:asciiTheme="minorHAnsi" w:hAnsiTheme="minorHAnsi" w:cstheme="minorHAnsi"/>
          <w:b/>
          <w:sz w:val="22"/>
          <w:szCs w:val="22"/>
        </w:rPr>
        <w:t>Messaging:</w:t>
      </w:r>
      <w:r>
        <w:rPr>
          <w:rFonts w:asciiTheme="minorHAnsi" w:hAnsiTheme="minorHAnsi" w:cstheme="minorHAnsi"/>
          <w:sz w:val="22"/>
          <w:szCs w:val="22"/>
        </w:rPr>
        <w:t xml:space="preserve"> </w:t>
      </w:r>
      <w:r w:rsidR="00615142" w:rsidRPr="000162A6">
        <w:rPr>
          <w:rFonts w:asciiTheme="minorHAnsi" w:hAnsiTheme="minorHAnsi" w:cstheme="minorHAnsi"/>
          <w:sz w:val="22"/>
          <w:szCs w:val="22"/>
        </w:rPr>
        <w:t xml:space="preserve">The ‘responsible gambling’ narrative and commercial messaging such as ‘When the Fun Stops...’ have been overshadowed by the industry’s annual £1.5bn spend on advertising. A public health approach would help people to make more informed decisions, featuring clear, unequivocal public information such as the messages now used on UK cigarette packaging, and this example from Australia: </w:t>
      </w:r>
    </w:p>
    <w:p w:rsidR="00615142" w:rsidRDefault="00615142" w:rsidP="00F24362">
      <w:pPr>
        <w:pStyle w:val="ecxmsonormal"/>
        <w:spacing w:after="0"/>
        <w:jc w:val="both"/>
        <w:rPr>
          <w:rFonts w:asciiTheme="minorHAnsi" w:hAnsiTheme="minorHAnsi" w:cstheme="minorHAnsi"/>
          <w:i/>
          <w:sz w:val="22"/>
          <w:szCs w:val="22"/>
        </w:rPr>
      </w:pPr>
      <w:r w:rsidRPr="000162A6">
        <w:rPr>
          <w:rFonts w:asciiTheme="minorHAnsi" w:hAnsiTheme="minorHAnsi" w:cstheme="minorHAnsi"/>
          <w:sz w:val="22"/>
          <w:szCs w:val="22"/>
        </w:rPr>
        <w:lastRenderedPageBreak/>
        <w:t>‘</w:t>
      </w:r>
      <w:r w:rsidRPr="000162A6">
        <w:rPr>
          <w:rFonts w:asciiTheme="minorHAnsi" w:hAnsiTheme="minorHAnsi" w:cstheme="minorHAnsi"/>
          <w:i/>
          <w:sz w:val="22"/>
          <w:szCs w:val="22"/>
        </w:rPr>
        <w:t>Poker machines are programmed to pay out less than you put into them, so the odds are you will</w:t>
      </w:r>
      <w:r w:rsidR="00F24362">
        <w:rPr>
          <w:rFonts w:asciiTheme="minorHAnsi" w:hAnsiTheme="minorHAnsi" w:cstheme="minorHAnsi"/>
          <w:i/>
          <w:sz w:val="22"/>
          <w:szCs w:val="22"/>
        </w:rPr>
        <w:t xml:space="preserve"> </w:t>
      </w:r>
      <w:r w:rsidRPr="000162A6">
        <w:rPr>
          <w:rFonts w:asciiTheme="minorHAnsi" w:hAnsiTheme="minorHAnsi" w:cstheme="minorHAnsi"/>
          <w:i/>
          <w:sz w:val="22"/>
          <w:szCs w:val="22"/>
        </w:rPr>
        <w:t>lose</w:t>
      </w:r>
      <w:r w:rsidRPr="000162A6">
        <w:rPr>
          <w:rFonts w:asciiTheme="minorHAnsi" w:hAnsiTheme="minorHAnsi" w:cstheme="minorHAnsi"/>
          <w:i/>
          <w:smallCaps/>
          <w:sz w:val="22"/>
          <w:szCs w:val="22"/>
        </w:rPr>
        <w:t>…</w:t>
      </w:r>
      <w:r w:rsidRPr="000162A6">
        <w:rPr>
          <w:rFonts w:asciiTheme="minorHAnsi" w:hAnsiTheme="minorHAnsi" w:cstheme="minorHAnsi"/>
          <w:i/>
          <w:sz w:val="22"/>
          <w:szCs w:val="22"/>
        </w:rPr>
        <w:t>The longer you play a poker machine, the more likely you are to lose all the money you have put in the machine.’</w:t>
      </w:r>
      <w:r w:rsidRPr="000162A6">
        <w:rPr>
          <w:rStyle w:val="FootnoteReference"/>
          <w:rFonts w:asciiTheme="minorHAnsi" w:hAnsiTheme="minorHAnsi" w:cstheme="minorHAnsi"/>
          <w:i/>
          <w:sz w:val="22"/>
          <w:szCs w:val="22"/>
        </w:rPr>
        <w:footnoteReference w:id="11"/>
      </w:r>
    </w:p>
    <w:p w:rsidR="00507BBD" w:rsidRPr="00F24362" w:rsidRDefault="00507BBD" w:rsidP="00F24362">
      <w:pPr>
        <w:pStyle w:val="ecxmsonormal"/>
        <w:spacing w:after="0"/>
        <w:jc w:val="both"/>
        <w:rPr>
          <w:rFonts w:asciiTheme="minorHAnsi" w:hAnsiTheme="minorHAnsi" w:cstheme="minorHAnsi"/>
          <w:sz w:val="22"/>
          <w:szCs w:val="22"/>
        </w:rPr>
      </w:pPr>
    </w:p>
    <w:p w:rsidR="00161894" w:rsidRPr="00161894" w:rsidRDefault="00F24362" w:rsidP="00161894">
      <w:pPr>
        <w:pStyle w:val="ecxmsonormal"/>
        <w:spacing w:after="0"/>
        <w:jc w:val="both"/>
        <w:rPr>
          <w:rFonts w:asciiTheme="minorHAnsi" w:hAnsiTheme="minorHAnsi" w:cstheme="minorHAnsi"/>
          <w:sz w:val="22"/>
          <w:szCs w:val="22"/>
          <w:lang w:val="en-US"/>
        </w:rPr>
      </w:pPr>
      <w:r w:rsidRPr="00F24362">
        <w:rPr>
          <w:rFonts w:asciiTheme="minorHAnsi" w:hAnsiTheme="minorHAnsi" w:cstheme="minorHAnsi"/>
          <w:b/>
          <w:sz w:val="22"/>
          <w:szCs w:val="22"/>
          <w:lang w:val="en-US"/>
        </w:rPr>
        <w:t>C</w:t>
      </w:r>
      <w:r>
        <w:rPr>
          <w:rFonts w:asciiTheme="minorHAnsi" w:hAnsiTheme="minorHAnsi" w:cstheme="minorHAnsi"/>
          <w:b/>
          <w:sz w:val="22"/>
          <w:szCs w:val="22"/>
          <w:lang w:val="en-US"/>
        </w:rPr>
        <w:t>ross-departmental c</w:t>
      </w:r>
      <w:r w:rsidRPr="00F24362">
        <w:rPr>
          <w:rFonts w:asciiTheme="minorHAnsi" w:hAnsiTheme="minorHAnsi" w:cstheme="minorHAnsi"/>
          <w:b/>
          <w:sz w:val="22"/>
          <w:szCs w:val="22"/>
          <w:lang w:val="en-US"/>
        </w:rPr>
        <w:t>ollaboration:</w:t>
      </w:r>
      <w:r>
        <w:rPr>
          <w:rFonts w:asciiTheme="minorHAnsi" w:hAnsiTheme="minorHAnsi" w:cstheme="minorHAnsi"/>
          <w:sz w:val="22"/>
          <w:szCs w:val="22"/>
          <w:lang w:val="en-US"/>
        </w:rPr>
        <w:t xml:space="preserve"> </w:t>
      </w:r>
      <w:r w:rsidR="00161894" w:rsidRPr="00161894">
        <w:rPr>
          <w:rFonts w:asciiTheme="minorHAnsi" w:hAnsiTheme="minorHAnsi" w:cstheme="minorHAnsi"/>
          <w:sz w:val="22"/>
          <w:szCs w:val="22"/>
          <w:lang w:val="en-US"/>
        </w:rPr>
        <w:t>Finally, we support the view that the development and successful implementation of a public health prevention strategy will require cross-departmental collaboration between DCMS, DHSC, the Department for Education, the Treasury, the Home Office and the Ministry of Justice.</w:t>
      </w:r>
    </w:p>
    <w:p w:rsidR="00480620" w:rsidRPr="005703B5" w:rsidRDefault="00480620" w:rsidP="005703B5">
      <w:pPr>
        <w:rPr>
          <w:rFonts w:eastAsia="Times New Roman" w:cs="Calibri"/>
          <w:b/>
          <w:sz w:val="22"/>
          <w:szCs w:val="22"/>
          <w:lang w:val="en-US" w:eastAsia="ar-SA"/>
        </w:rPr>
      </w:pPr>
    </w:p>
    <w:p w:rsidR="00A365EC" w:rsidRDefault="00F24362" w:rsidP="00D566D6">
      <w:pPr>
        <w:pStyle w:val="ecxmsonormal"/>
        <w:numPr>
          <w:ilvl w:val="0"/>
          <w:numId w:val="4"/>
        </w:numPr>
        <w:spacing w:after="120"/>
        <w:ind w:left="284" w:hanging="284"/>
        <w:jc w:val="both"/>
        <w:rPr>
          <w:rFonts w:ascii="Calibri" w:hAnsi="Calibri" w:cs="Calibri"/>
          <w:b/>
          <w:sz w:val="22"/>
          <w:szCs w:val="22"/>
          <w:lang w:val="en-US"/>
        </w:rPr>
      </w:pPr>
      <w:r w:rsidRPr="00DC46AB">
        <w:rPr>
          <w:rFonts w:ascii="Calibri" w:hAnsi="Calibri" w:cs="Calibri"/>
          <w:b/>
          <w:sz w:val="22"/>
          <w:szCs w:val="22"/>
          <w:lang w:val="en-US"/>
        </w:rPr>
        <w:t xml:space="preserve">A MANDATORY LEVY IS LONG OVERDUE AND SHOULD BE IMPLEMENTED WITHOUT DELAY. </w:t>
      </w:r>
    </w:p>
    <w:p w:rsidR="00C71CAA" w:rsidRDefault="00C71CAA" w:rsidP="00C71CAA">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We support the widespread, longstanding calls to introduce a mandatory ‘smart’ levy based on the ‘polluter pays’ principle which, we hope, will be refined by future in-depth research into product characteristics.</w:t>
      </w:r>
    </w:p>
    <w:p w:rsidR="00C71CAA" w:rsidRDefault="00C71CAA" w:rsidP="00C71CAA">
      <w:pPr>
        <w:pStyle w:val="ecxmsonormal"/>
        <w:spacing w:after="0"/>
        <w:jc w:val="both"/>
        <w:rPr>
          <w:rFonts w:asciiTheme="minorHAnsi" w:hAnsiTheme="minorHAnsi" w:cstheme="minorHAnsi"/>
          <w:sz w:val="22"/>
          <w:szCs w:val="22"/>
          <w:lang w:val="en-US"/>
        </w:rPr>
      </w:pPr>
    </w:p>
    <w:p w:rsidR="00C71CAA" w:rsidRDefault="00C71CAA" w:rsidP="00C71CAA">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In its 2018-2021 Strategy, the Gambling Commission referred to the ‘</w:t>
      </w:r>
      <w:r w:rsidRPr="000646E3">
        <w:rPr>
          <w:rFonts w:asciiTheme="minorHAnsi" w:hAnsiTheme="minorHAnsi" w:cstheme="minorHAnsi"/>
          <w:i/>
          <w:sz w:val="22"/>
          <w:szCs w:val="22"/>
          <w:lang w:val="en-US"/>
        </w:rPr>
        <w:t>slow and insufficient’</w:t>
      </w:r>
      <w:r>
        <w:rPr>
          <w:rFonts w:asciiTheme="minorHAnsi" w:hAnsiTheme="minorHAnsi" w:cstheme="minorHAnsi"/>
          <w:sz w:val="22"/>
          <w:szCs w:val="22"/>
          <w:lang w:val="en-US"/>
        </w:rPr>
        <w:t xml:space="preserve"> response of the industry regarding its voluntary contributions and that ‘</w:t>
      </w:r>
      <w:r w:rsidRPr="000646E3">
        <w:rPr>
          <w:rFonts w:asciiTheme="minorHAnsi" w:hAnsiTheme="minorHAnsi" w:cstheme="minorHAnsi"/>
          <w:i/>
          <w:sz w:val="22"/>
          <w:szCs w:val="22"/>
          <w:lang w:val="en-US"/>
        </w:rPr>
        <w:t>continued failure in this would be unsustainable and unacceptable for the future.</w:t>
      </w:r>
      <w:r>
        <w:rPr>
          <w:rFonts w:asciiTheme="minorHAnsi" w:hAnsiTheme="minorHAnsi" w:cstheme="minorHAnsi"/>
          <w:sz w:val="22"/>
          <w:szCs w:val="22"/>
          <w:lang w:val="en-US"/>
        </w:rPr>
        <w:t>’</w:t>
      </w:r>
      <w:r>
        <w:rPr>
          <w:rStyle w:val="FootnoteReference"/>
          <w:rFonts w:asciiTheme="minorHAnsi" w:hAnsiTheme="minorHAnsi" w:cstheme="minorHAnsi"/>
          <w:sz w:val="22"/>
          <w:szCs w:val="22"/>
          <w:lang w:val="en-US"/>
        </w:rPr>
        <w:footnoteReference w:id="12"/>
      </w:r>
      <w:r>
        <w:rPr>
          <w:rFonts w:asciiTheme="minorHAnsi" w:hAnsiTheme="minorHAnsi" w:cstheme="minorHAnsi"/>
          <w:sz w:val="22"/>
          <w:szCs w:val="22"/>
          <w:lang w:val="en-US"/>
        </w:rPr>
        <w:t xml:space="preserve">  It recommended that a mandatory levy would be a ‘</w:t>
      </w:r>
      <w:r w:rsidRPr="00251017">
        <w:rPr>
          <w:rFonts w:asciiTheme="minorHAnsi" w:hAnsiTheme="minorHAnsi" w:cstheme="minorHAnsi"/>
          <w:i/>
          <w:sz w:val="22"/>
          <w:szCs w:val="22"/>
          <w:lang w:val="en-US"/>
        </w:rPr>
        <w:t>fair</w:t>
      </w:r>
      <w:r>
        <w:rPr>
          <w:rFonts w:asciiTheme="minorHAnsi" w:hAnsiTheme="minorHAnsi" w:cstheme="minorHAnsi"/>
          <w:sz w:val="22"/>
          <w:szCs w:val="22"/>
          <w:lang w:val="en-US"/>
        </w:rPr>
        <w:t xml:space="preserve"> </w:t>
      </w:r>
      <w:r w:rsidRPr="00251017">
        <w:rPr>
          <w:rFonts w:asciiTheme="minorHAnsi" w:hAnsiTheme="minorHAnsi" w:cstheme="minorHAnsi"/>
          <w:i/>
          <w:sz w:val="22"/>
          <w:szCs w:val="22"/>
          <w:lang w:val="en-US"/>
        </w:rPr>
        <w:t>and credible way of addressing some of these</w:t>
      </w:r>
      <w:r>
        <w:rPr>
          <w:rFonts w:asciiTheme="minorHAnsi" w:hAnsiTheme="minorHAnsi" w:cstheme="minorHAnsi"/>
          <w:sz w:val="22"/>
          <w:szCs w:val="22"/>
          <w:lang w:val="en-US"/>
        </w:rPr>
        <w:t xml:space="preserve"> weaknesses’, even suggesting that this view had support amongst larger operators.  </w:t>
      </w:r>
    </w:p>
    <w:p w:rsidR="00C71CAA" w:rsidRDefault="00C71CAA" w:rsidP="00C71CAA">
      <w:pPr>
        <w:pStyle w:val="ecxmsonormal"/>
        <w:spacing w:after="0"/>
        <w:jc w:val="both"/>
        <w:rPr>
          <w:rFonts w:asciiTheme="minorHAnsi" w:hAnsiTheme="minorHAnsi" w:cstheme="minorHAnsi"/>
          <w:sz w:val="22"/>
          <w:szCs w:val="22"/>
          <w:lang w:val="en-US"/>
        </w:rPr>
      </w:pPr>
    </w:p>
    <w:p w:rsidR="00C71CAA" w:rsidRDefault="00C71CAA" w:rsidP="00C71CAA">
      <w:pPr>
        <w:pStyle w:val="ecxmsonormal"/>
        <w:spacing w:after="0"/>
        <w:jc w:val="both"/>
        <w:rPr>
          <w:rFonts w:asciiTheme="minorHAnsi" w:hAnsiTheme="minorHAnsi" w:cstheme="minorHAnsi"/>
          <w:sz w:val="22"/>
          <w:szCs w:val="22"/>
          <w:lang w:val="en-US"/>
        </w:rPr>
      </w:pPr>
      <w:r w:rsidRPr="00B15B23">
        <w:rPr>
          <w:rFonts w:asciiTheme="minorHAnsi" w:hAnsiTheme="minorHAnsi"/>
          <w:sz w:val="22"/>
          <w:szCs w:val="22"/>
        </w:rPr>
        <w:t xml:space="preserve">To date, there have been no attempts to quantify the costs of gambling-related harms to society in Britain, largely because such harms have </w:t>
      </w:r>
      <w:r>
        <w:rPr>
          <w:rFonts w:asciiTheme="minorHAnsi" w:hAnsiTheme="minorHAnsi"/>
          <w:sz w:val="22"/>
          <w:szCs w:val="22"/>
        </w:rPr>
        <w:t>yet to be fully</w:t>
      </w:r>
      <w:r w:rsidRPr="00B15B23">
        <w:rPr>
          <w:rFonts w:asciiTheme="minorHAnsi" w:hAnsiTheme="minorHAnsi"/>
          <w:sz w:val="22"/>
          <w:szCs w:val="22"/>
        </w:rPr>
        <w:t xml:space="preserve"> defined.  </w:t>
      </w:r>
      <w:r>
        <w:rPr>
          <w:rFonts w:asciiTheme="minorHAnsi" w:hAnsiTheme="minorHAnsi"/>
          <w:sz w:val="22"/>
          <w:szCs w:val="22"/>
        </w:rPr>
        <w:t>One</w:t>
      </w:r>
      <w:r w:rsidRPr="00B15B23">
        <w:rPr>
          <w:rFonts w:asciiTheme="minorHAnsi" w:hAnsiTheme="minorHAnsi"/>
          <w:sz w:val="22"/>
          <w:szCs w:val="22"/>
        </w:rPr>
        <w:t xml:space="preserve"> attempt to quantify some of the costs associated with problem gambling</w:t>
      </w:r>
      <w:r>
        <w:rPr>
          <w:rFonts w:asciiTheme="minorHAnsi" w:hAnsiTheme="minorHAnsi"/>
          <w:sz w:val="22"/>
          <w:szCs w:val="22"/>
        </w:rPr>
        <w:t xml:space="preserve"> estimated</w:t>
      </w:r>
      <w:r w:rsidRPr="00B15B23">
        <w:rPr>
          <w:rFonts w:asciiTheme="minorHAnsi" w:hAnsiTheme="minorHAnsi"/>
          <w:sz w:val="22"/>
          <w:szCs w:val="22"/>
        </w:rPr>
        <w:t xml:space="preserve"> costs of between £260m and £1.6bn</w:t>
      </w:r>
      <w:r w:rsidRPr="00B15B23">
        <w:rPr>
          <w:rStyle w:val="FootnoteReference"/>
          <w:rFonts w:asciiTheme="minorHAnsi" w:hAnsiTheme="minorHAnsi"/>
          <w:sz w:val="22"/>
          <w:szCs w:val="22"/>
        </w:rPr>
        <w:footnoteReference w:id="13"/>
      </w:r>
      <w:r w:rsidRPr="00B15B23">
        <w:rPr>
          <w:rFonts w:asciiTheme="minorHAnsi" w:hAnsiTheme="minorHAnsi"/>
          <w:sz w:val="22"/>
          <w:szCs w:val="22"/>
        </w:rPr>
        <w:t xml:space="preserve">. </w:t>
      </w:r>
      <w:r>
        <w:rPr>
          <w:rFonts w:asciiTheme="minorHAnsi" w:hAnsiTheme="minorHAnsi"/>
          <w:sz w:val="22"/>
          <w:szCs w:val="22"/>
        </w:rPr>
        <w:t xml:space="preserve"> More recently, </w:t>
      </w:r>
      <w:r w:rsidRPr="00B15B23">
        <w:rPr>
          <w:rFonts w:asciiTheme="minorHAnsi" w:hAnsiTheme="minorHAnsi" w:cstheme="minorHAnsi"/>
          <w:sz w:val="22"/>
          <w:szCs w:val="22"/>
          <w:lang w:val="en-US"/>
        </w:rPr>
        <w:t>Dr Carolyn Downs estimated that an annual NHS gambling trea</w:t>
      </w:r>
      <w:r>
        <w:rPr>
          <w:rFonts w:asciiTheme="minorHAnsi" w:hAnsiTheme="minorHAnsi" w:cstheme="minorHAnsi"/>
          <w:sz w:val="22"/>
          <w:szCs w:val="22"/>
          <w:lang w:val="en-US"/>
        </w:rPr>
        <w:t>tment budget of £2.6m is needed</w:t>
      </w:r>
      <w:r w:rsidRPr="00B15B23">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Pr="00B15B23">
        <w:rPr>
          <w:rFonts w:asciiTheme="minorHAnsi" w:hAnsiTheme="minorHAnsi" w:cstheme="minorHAnsi"/>
          <w:sz w:val="22"/>
          <w:szCs w:val="22"/>
          <w:lang w:val="en-US"/>
        </w:rPr>
        <w:t>based on comparisons with NHS alcohol treatment costs of ar</w:t>
      </w:r>
      <w:r>
        <w:rPr>
          <w:rFonts w:asciiTheme="minorHAnsi" w:hAnsiTheme="minorHAnsi" w:cstheme="minorHAnsi"/>
          <w:sz w:val="22"/>
          <w:szCs w:val="22"/>
          <w:lang w:val="en-US"/>
        </w:rPr>
        <w:t>ound £5,900 per year per person), adding</w:t>
      </w:r>
      <w:r w:rsidRPr="00B15B23">
        <w:rPr>
          <w:rFonts w:asciiTheme="minorHAnsi" w:hAnsiTheme="minorHAnsi" w:cstheme="minorHAnsi"/>
          <w:sz w:val="22"/>
          <w:szCs w:val="22"/>
          <w:lang w:val="en-US"/>
        </w:rPr>
        <w:t xml:space="preserve"> tha</w:t>
      </w:r>
      <w:r>
        <w:rPr>
          <w:rFonts w:asciiTheme="minorHAnsi" w:hAnsiTheme="minorHAnsi" w:cstheme="minorHAnsi"/>
          <w:sz w:val="22"/>
          <w:szCs w:val="22"/>
          <w:lang w:val="en-US"/>
        </w:rPr>
        <w:t xml:space="preserve">t this does not include </w:t>
      </w:r>
      <w:r w:rsidRPr="00B15B23">
        <w:rPr>
          <w:rFonts w:asciiTheme="minorHAnsi" w:hAnsiTheme="minorHAnsi" w:cstheme="minorHAnsi"/>
          <w:sz w:val="22"/>
          <w:szCs w:val="22"/>
          <w:lang w:val="en-US"/>
        </w:rPr>
        <w:t>non-NHS services, research or e</w:t>
      </w:r>
      <w:r>
        <w:rPr>
          <w:rFonts w:asciiTheme="minorHAnsi" w:hAnsiTheme="minorHAnsi" w:cstheme="minorHAnsi"/>
          <w:sz w:val="22"/>
          <w:szCs w:val="22"/>
          <w:lang w:val="en-US"/>
        </w:rPr>
        <w:t>ducation/public health campaigning</w:t>
      </w:r>
      <w:r w:rsidRPr="00B15B23">
        <w:rPr>
          <w:rFonts w:asciiTheme="minorHAnsi" w:hAnsiTheme="minorHAnsi" w:cstheme="minorHAnsi"/>
          <w:sz w:val="22"/>
          <w:szCs w:val="22"/>
          <w:lang w:val="en-US"/>
        </w:rPr>
        <w:t>.</w:t>
      </w:r>
      <w:r w:rsidRPr="00B15B23">
        <w:rPr>
          <w:rStyle w:val="FootnoteReference"/>
          <w:rFonts w:asciiTheme="minorHAnsi" w:hAnsiTheme="minorHAnsi" w:cstheme="minorHAnsi"/>
          <w:sz w:val="22"/>
          <w:szCs w:val="22"/>
          <w:lang w:val="en-US"/>
        </w:rPr>
        <w:footnoteReference w:id="14"/>
      </w:r>
      <w:r w:rsidRPr="00B15B23">
        <w:rPr>
          <w:rFonts w:asciiTheme="minorHAnsi" w:hAnsiTheme="minorHAnsi" w:cstheme="minorHAnsi"/>
          <w:sz w:val="22"/>
          <w:szCs w:val="22"/>
          <w:lang w:val="en-US"/>
        </w:rPr>
        <w:t xml:space="preserve"> </w:t>
      </w:r>
    </w:p>
    <w:p w:rsidR="003B3A0E" w:rsidRDefault="003B3A0E" w:rsidP="00C71CAA">
      <w:pPr>
        <w:pStyle w:val="ecxmsonormal"/>
        <w:spacing w:after="0"/>
        <w:jc w:val="both"/>
        <w:rPr>
          <w:rFonts w:asciiTheme="minorHAnsi" w:hAnsiTheme="minorHAnsi" w:cstheme="minorHAnsi"/>
          <w:sz w:val="22"/>
          <w:szCs w:val="22"/>
          <w:lang w:val="en-US"/>
        </w:rPr>
      </w:pPr>
    </w:p>
    <w:p w:rsidR="00507BBD" w:rsidRDefault="00C71CAA" w:rsidP="00C71CAA">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The indu</w:t>
      </w:r>
      <w:r w:rsidR="00502B3B">
        <w:rPr>
          <w:rFonts w:asciiTheme="minorHAnsi" w:hAnsiTheme="minorHAnsi" w:cstheme="minorHAnsi"/>
          <w:sz w:val="22"/>
          <w:szCs w:val="22"/>
          <w:lang w:val="en-US"/>
        </w:rPr>
        <w:t>stry has promised to increase</w:t>
      </w:r>
      <w:r>
        <w:rPr>
          <w:rFonts w:asciiTheme="minorHAnsi" w:hAnsiTheme="minorHAnsi" w:cstheme="minorHAnsi"/>
          <w:sz w:val="22"/>
          <w:szCs w:val="22"/>
          <w:lang w:val="en-US"/>
        </w:rPr>
        <w:t xml:space="preserve"> its</w:t>
      </w:r>
      <w:r w:rsidRPr="00B15B23">
        <w:rPr>
          <w:rFonts w:asciiTheme="minorHAnsi" w:hAnsiTheme="minorHAnsi" w:cstheme="minorHAnsi"/>
          <w:sz w:val="22"/>
          <w:szCs w:val="22"/>
          <w:lang w:val="en-US"/>
        </w:rPr>
        <w:t xml:space="preserve"> voluntary contribution</w:t>
      </w:r>
      <w:r>
        <w:rPr>
          <w:rFonts w:asciiTheme="minorHAnsi" w:hAnsiTheme="minorHAnsi" w:cstheme="minorHAnsi"/>
          <w:sz w:val="22"/>
          <w:szCs w:val="22"/>
          <w:lang w:val="en-US"/>
        </w:rPr>
        <w:t xml:space="preserve">s to a cumulative total of around £100m </w:t>
      </w:r>
      <w:r w:rsidRPr="00FC753B">
        <w:rPr>
          <w:rFonts w:asciiTheme="minorHAnsi" w:hAnsiTheme="minorHAnsi" w:cstheme="minorHAnsi"/>
          <w:sz w:val="22"/>
          <w:szCs w:val="22"/>
          <w:lang w:val="en-US"/>
        </w:rPr>
        <w:t>by 2023</w:t>
      </w:r>
      <w:r>
        <w:rPr>
          <w:rFonts w:asciiTheme="minorHAnsi" w:hAnsiTheme="minorHAnsi" w:cstheme="minorHAnsi"/>
          <w:sz w:val="22"/>
          <w:szCs w:val="22"/>
          <w:lang w:val="en-US"/>
        </w:rPr>
        <w:t xml:space="preserve"> and an annual £60m following this (representing just 1% of current Gross Gambling Yield).  </w:t>
      </w:r>
    </w:p>
    <w:p w:rsidR="00507BBD" w:rsidRPr="00EE6127" w:rsidRDefault="00507BBD" w:rsidP="00507BBD">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Although welcome, it is patently clear that such increases will prove insufficient in meeting future costs of health-based research, treatment and education/public awareness.  Furthermore, the voluntary status of these funds, which may be subject to subsequent variation, makes it very difficult for researchers and support services to plan essential long-term, sustainable work.</w:t>
      </w:r>
    </w:p>
    <w:p w:rsidR="00507BBD" w:rsidRDefault="00507BBD" w:rsidP="00C71CAA">
      <w:pPr>
        <w:pStyle w:val="ecxmsonormal"/>
        <w:spacing w:after="0"/>
        <w:jc w:val="both"/>
        <w:rPr>
          <w:rFonts w:asciiTheme="minorHAnsi" w:hAnsiTheme="minorHAnsi" w:cstheme="minorHAnsi"/>
          <w:sz w:val="22"/>
          <w:szCs w:val="22"/>
          <w:lang w:val="en-US"/>
        </w:rPr>
      </w:pPr>
    </w:p>
    <w:p w:rsidR="00C71CAA" w:rsidRDefault="00507BBD" w:rsidP="00C71CAA">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industry </w:t>
      </w:r>
      <w:r w:rsidR="00C71CAA">
        <w:rPr>
          <w:rFonts w:asciiTheme="minorHAnsi" w:hAnsiTheme="minorHAnsi" w:cstheme="minorHAnsi"/>
          <w:sz w:val="22"/>
          <w:szCs w:val="22"/>
          <w:lang w:val="en-US"/>
        </w:rPr>
        <w:t xml:space="preserve">continues to exert influence over how its voluntary contributions are distributed. Through the Chadlington Committee, the UK’s five largest operators confirmed their objective to identify and recommend how best to deploy these increased contributions. </w:t>
      </w:r>
      <w:r>
        <w:rPr>
          <w:rFonts w:asciiTheme="minorHAnsi" w:hAnsiTheme="minorHAnsi" w:cstheme="minorHAnsi"/>
          <w:sz w:val="22"/>
          <w:szCs w:val="22"/>
          <w:lang w:val="en-US"/>
        </w:rPr>
        <w:t>Treatment, advertising, transparency,</w:t>
      </w:r>
      <w:r w:rsidR="00C71CAA" w:rsidRPr="00FC753B">
        <w:rPr>
          <w:rFonts w:asciiTheme="minorHAnsi" w:hAnsiTheme="minorHAnsi" w:cstheme="minorHAnsi"/>
          <w:sz w:val="22"/>
          <w:szCs w:val="22"/>
          <w:lang w:val="en-US"/>
        </w:rPr>
        <w:t xml:space="preserve"> and data sharing</w:t>
      </w:r>
      <w:r>
        <w:rPr>
          <w:rFonts w:asciiTheme="minorHAnsi" w:hAnsiTheme="minorHAnsi" w:cstheme="minorHAnsi"/>
          <w:sz w:val="22"/>
          <w:szCs w:val="22"/>
          <w:lang w:val="en-US"/>
        </w:rPr>
        <w:t xml:space="preserve"> were identified.  I</w:t>
      </w:r>
      <w:r w:rsidR="00C71CAA" w:rsidRPr="00FC753B">
        <w:rPr>
          <w:rFonts w:asciiTheme="minorHAnsi" w:hAnsiTheme="minorHAnsi" w:cstheme="minorHAnsi"/>
          <w:sz w:val="22"/>
          <w:szCs w:val="22"/>
          <w:lang w:val="en-US"/>
        </w:rPr>
        <w:t xml:space="preserve">t is notable that </w:t>
      </w:r>
      <w:r w:rsidR="00C71CAA">
        <w:rPr>
          <w:rFonts w:asciiTheme="minorHAnsi" w:hAnsiTheme="minorHAnsi" w:cstheme="minorHAnsi"/>
          <w:sz w:val="22"/>
          <w:szCs w:val="22"/>
          <w:lang w:val="en-US"/>
        </w:rPr>
        <w:t xml:space="preserve">neither </w:t>
      </w:r>
      <w:r w:rsidR="00C71CAA" w:rsidRPr="00FC753B">
        <w:rPr>
          <w:rFonts w:asciiTheme="minorHAnsi" w:hAnsiTheme="minorHAnsi" w:cstheme="minorHAnsi"/>
          <w:sz w:val="22"/>
          <w:szCs w:val="22"/>
          <w:lang w:val="en-US"/>
        </w:rPr>
        <w:t xml:space="preserve">prevention </w:t>
      </w:r>
      <w:r w:rsidR="00C71CAA">
        <w:rPr>
          <w:rFonts w:asciiTheme="minorHAnsi" w:hAnsiTheme="minorHAnsi" w:cstheme="minorHAnsi"/>
          <w:sz w:val="22"/>
          <w:szCs w:val="22"/>
          <w:lang w:val="en-US"/>
        </w:rPr>
        <w:t xml:space="preserve">nor </w:t>
      </w:r>
      <w:r>
        <w:rPr>
          <w:rFonts w:asciiTheme="minorHAnsi" w:hAnsiTheme="minorHAnsi" w:cstheme="minorHAnsi"/>
          <w:sz w:val="22"/>
          <w:szCs w:val="22"/>
          <w:lang w:val="en-US"/>
        </w:rPr>
        <w:t>research were included</w:t>
      </w:r>
      <w:r w:rsidR="00C71CAA" w:rsidRPr="00FC753B">
        <w:rPr>
          <w:rFonts w:asciiTheme="minorHAnsi" w:hAnsiTheme="minorHAnsi" w:cstheme="minorHAnsi"/>
          <w:sz w:val="22"/>
          <w:szCs w:val="22"/>
          <w:lang w:val="en-US"/>
        </w:rPr>
        <w:t>.</w:t>
      </w:r>
    </w:p>
    <w:p w:rsidR="00C71CAA" w:rsidRDefault="00C71CAA" w:rsidP="00C71CAA">
      <w:pPr>
        <w:pStyle w:val="ecxmsonormal"/>
        <w:spacing w:after="0"/>
        <w:jc w:val="both"/>
        <w:rPr>
          <w:rFonts w:asciiTheme="minorHAnsi" w:hAnsiTheme="minorHAnsi"/>
          <w:sz w:val="22"/>
          <w:szCs w:val="22"/>
        </w:rPr>
      </w:pPr>
    </w:p>
    <w:p w:rsidR="00C71CAA" w:rsidRDefault="00C71CAA" w:rsidP="00C71CAA">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Reservations about the credibility of industry-funded research has led to enduring difficulties in attracting many high-quality, independent researchers into this field.  With cumulative evidence of the extent of harms across the whole population, action is needed to establish an entirely independent gambling research body, able to commission research based on public health principles. Only in this way can stakeholders and the public be reassured that future findings are not unduly influenced by any commercial conflicts of interest. </w:t>
      </w:r>
    </w:p>
    <w:p w:rsidR="00C71CAA" w:rsidRDefault="00C71CAA" w:rsidP="00C71CAA">
      <w:pPr>
        <w:pStyle w:val="ecxmsonormal"/>
        <w:spacing w:after="0"/>
        <w:jc w:val="both"/>
        <w:rPr>
          <w:rFonts w:asciiTheme="minorHAnsi" w:hAnsiTheme="minorHAnsi" w:cstheme="minorHAnsi"/>
          <w:sz w:val="22"/>
          <w:szCs w:val="22"/>
          <w:lang w:val="en-US"/>
        </w:rPr>
      </w:pPr>
    </w:p>
    <w:p w:rsidR="00C71CAA" w:rsidRPr="00507BBD" w:rsidRDefault="00C71CAA" w:rsidP="00C71CAA">
      <w:pPr>
        <w:pStyle w:val="ecxmsonormal"/>
        <w:spacing w:after="0"/>
        <w:jc w:val="both"/>
        <w:rPr>
          <w:rFonts w:asciiTheme="minorHAnsi" w:hAnsiTheme="minorHAnsi" w:cstheme="minorHAnsi"/>
          <w:sz w:val="22"/>
          <w:szCs w:val="22"/>
          <w:lang w:val="en-US"/>
        </w:rPr>
      </w:pPr>
      <w:r w:rsidRPr="00507BBD">
        <w:rPr>
          <w:rFonts w:asciiTheme="minorHAnsi" w:hAnsiTheme="minorHAnsi" w:cstheme="minorHAnsi"/>
          <w:sz w:val="22"/>
          <w:szCs w:val="22"/>
          <w:lang w:val="en-US"/>
        </w:rPr>
        <w:lastRenderedPageBreak/>
        <w:t xml:space="preserve">We believe that the government is sincere in its objectives to significantly reduce gambling-related harm.  In the light of the Commission’s </w:t>
      </w:r>
      <w:r w:rsidR="003B3A0E" w:rsidRPr="00507BBD">
        <w:rPr>
          <w:rFonts w:asciiTheme="minorHAnsi" w:hAnsiTheme="minorHAnsi" w:cstheme="minorHAnsi"/>
          <w:sz w:val="22"/>
          <w:szCs w:val="22"/>
          <w:lang w:val="en-US"/>
        </w:rPr>
        <w:t>recommendation, and</w:t>
      </w:r>
      <w:r w:rsidR="002E53D6">
        <w:rPr>
          <w:rFonts w:asciiTheme="minorHAnsi" w:hAnsiTheme="minorHAnsi" w:cstheme="minorHAnsi"/>
          <w:sz w:val="22"/>
          <w:szCs w:val="22"/>
          <w:lang w:val="en-US"/>
        </w:rPr>
        <w:t xml:space="preserve"> those </w:t>
      </w:r>
      <w:r w:rsidRPr="00507BBD">
        <w:rPr>
          <w:rFonts w:asciiTheme="minorHAnsi" w:hAnsiTheme="minorHAnsi" w:cstheme="minorHAnsi"/>
          <w:sz w:val="22"/>
          <w:szCs w:val="22"/>
          <w:lang w:val="en-US"/>
        </w:rPr>
        <w:t xml:space="preserve">within reports </w:t>
      </w:r>
      <w:r w:rsidR="003B3A0E" w:rsidRPr="00507BBD">
        <w:rPr>
          <w:rFonts w:asciiTheme="minorHAnsi" w:hAnsiTheme="minorHAnsi" w:cstheme="minorHAnsi"/>
          <w:sz w:val="22"/>
          <w:szCs w:val="22"/>
          <w:lang w:val="en-US"/>
        </w:rPr>
        <w:t>by</w:t>
      </w:r>
      <w:r w:rsidRPr="00507BBD">
        <w:rPr>
          <w:rFonts w:asciiTheme="minorHAnsi" w:hAnsiTheme="minorHAnsi" w:cstheme="minorHAnsi"/>
          <w:sz w:val="22"/>
          <w:szCs w:val="22"/>
          <w:lang w:val="en-US"/>
        </w:rPr>
        <w:t xml:space="preserve"> the APPG and the House of Lords, amongst others, we find it difficult to understand its continued prevarication in introducing a mandatory levy. O</w:t>
      </w:r>
      <w:r w:rsidR="006C29A6" w:rsidRPr="00507BBD">
        <w:rPr>
          <w:rFonts w:asciiTheme="minorHAnsi" w:hAnsiTheme="minorHAnsi" w:cstheme="minorHAnsi"/>
          <w:sz w:val="22"/>
          <w:szCs w:val="22"/>
          <w:lang w:val="en-US"/>
        </w:rPr>
        <w:t>nly by securing substantial, sustainable</w:t>
      </w:r>
      <w:r w:rsidRPr="00507BBD">
        <w:rPr>
          <w:rFonts w:asciiTheme="minorHAnsi" w:hAnsiTheme="minorHAnsi" w:cstheme="minorHAnsi"/>
          <w:sz w:val="22"/>
          <w:szCs w:val="22"/>
          <w:lang w:val="en-US"/>
        </w:rPr>
        <w:t xml:space="preserve"> funding </w:t>
      </w:r>
      <w:r w:rsidR="006C29A6" w:rsidRPr="00507BBD">
        <w:rPr>
          <w:rFonts w:asciiTheme="minorHAnsi" w:hAnsiTheme="minorHAnsi" w:cstheme="minorHAnsi"/>
          <w:sz w:val="22"/>
          <w:szCs w:val="22"/>
          <w:lang w:val="en-US"/>
        </w:rPr>
        <w:t>can</w:t>
      </w:r>
      <w:r w:rsidRPr="00507BBD">
        <w:rPr>
          <w:rFonts w:asciiTheme="minorHAnsi" w:hAnsiTheme="minorHAnsi" w:cstheme="minorHAnsi"/>
          <w:sz w:val="22"/>
          <w:szCs w:val="22"/>
          <w:lang w:val="en-US"/>
        </w:rPr>
        <w:t xml:space="preserve"> the extensive and fundamental changes that are so desperately needed</w:t>
      </w:r>
      <w:r w:rsidR="006C29A6" w:rsidRPr="00507BBD">
        <w:rPr>
          <w:rFonts w:asciiTheme="minorHAnsi" w:hAnsiTheme="minorHAnsi" w:cstheme="minorHAnsi"/>
          <w:sz w:val="22"/>
          <w:szCs w:val="22"/>
          <w:lang w:val="en-US"/>
        </w:rPr>
        <w:t xml:space="preserve"> be achieved</w:t>
      </w:r>
      <w:r w:rsidRPr="00507BBD">
        <w:rPr>
          <w:rFonts w:asciiTheme="minorHAnsi" w:hAnsiTheme="minorHAnsi" w:cstheme="minorHAnsi"/>
          <w:sz w:val="22"/>
          <w:szCs w:val="22"/>
          <w:lang w:val="en-US"/>
        </w:rPr>
        <w:t>.</w:t>
      </w:r>
    </w:p>
    <w:p w:rsidR="00507BBD" w:rsidRDefault="00507BBD" w:rsidP="00C71CAA">
      <w:pPr>
        <w:pStyle w:val="ecxmsonormal"/>
        <w:spacing w:after="0"/>
        <w:jc w:val="both"/>
        <w:rPr>
          <w:rFonts w:asciiTheme="minorHAnsi" w:hAnsiTheme="minorHAnsi" w:cstheme="minorHAnsi"/>
          <w:sz w:val="22"/>
          <w:szCs w:val="22"/>
          <w:lang w:val="en-US"/>
        </w:rPr>
      </w:pPr>
    </w:p>
    <w:p w:rsidR="00C71CAA" w:rsidRDefault="00D566D6" w:rsidP="00D566D6">
      <w:pPr>
        <w:pStyle w:val="ecxmsonormal"/>
        <w:numPr>
          <w:ilvl w:val="0"/>
          <w:numId w:val="4"/>
        </w:numPr>
        <w:spacing w:after="120"/>
        <w:ind w:left="284" w:hanging="284"/>
        <w:jc w:val="both"/>
        <w:rPr>
          <w:rFonts w:asciiTheme="minorHAnsi" w:hAnsiTheme="minorHAnsi" w:cstheme="minorHAnsi"/>
          <w:b/>
          <w:sz w:val="22"/>
          <w:szCs w:val="22"/>
          <w:lang w:val="en-US"/>
        </w:rPr>
      </w:pPr>
      <w:r>
        <w:rPr>
          <w:rFonts w:asciiTheme="minorHAnsi" w:hAnsiTheme="minorHAnsi" w:cstheme="minorHAnsi"/>
          <w:b/>
          <w:sz w:val="22"/>
          <w:szCs w:val="22"/>
          <w:lang w:val="en-US"/>
        </w:rPr>
        <w:t>STRENGTHENING PROTECTION</w:t>
      </w:r>
      <w:r w:rsidRPr="00376B71">
        <w:rPr>
          <w:rFonts w:asciiTheme="minorHAnsi" w:hAnsiTheme="minorHAnsi" w:cstheme="minorHAnsi"/>
          <w:b/>
          <w:sz w:val="22"/>
          <w:szCs w:val="22"/>
          <w:lang w:val="en-US"/>
        </w:rPr>
        <w:t xml:space="preserve">, </w:t>
      </w:r>
      <w:r>
        <w:rPr>
          <w:rFonts w:asciiTheme="minorHAnsi" w:hAnsiTheme="minorHAnsi" w:cstheme="minorHAnsi"/>
          <w:b/>
          <w:sz w:val="22"/>
          <w:szCs w:val="22"/>
          <w:lang w:val="en-US"/>
        </w:rPr>
        <w:t>PARTICULARLY</w:t>
      </w:r>
      <w:r w:rsidRPr="00376B71">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FOR </w:t>
      </w:r>
      <w:r w:rsidRPr="00376B71">
        <w:rPr>
          <w:rFonts w:asciiTheme="minorHAnsi" w:hAnsiTheme="minorHAnsi" w:cstheme="minorHAnsi"/>
          <w:b/>
          <w:sz w:val="22"/>
          <w:szCs w:val="22"/>
          <w:lang w:val="en-US"/>
        </w:rPr>
        <w:t>CHILDREN</w:t>
      </w:r>
      <w:r>
        <w:rPr>
          <w:rFonts w:asciiTheme="minorHAnsi" w:hAnsiTheme="minorHAnsi" w:cstheme="minorHAnsi"/>
          <w:b/>
          <w:sz w:val="22"/>
          <w:szCs w:val="22"/>
          <w:lang w:val="en-US"/>
        </w:rPr>
        <w:t xml:space="preserve"> AND </w:t>
      </w:r>
      <w:r w:rsidRPr="00376B71">
        <w:rPr>
          <w:rFonts w:asciiTheme="minorHAnsi" w:hAnsiTheme="minorHAnsi" w:cstheme="minorHAnsi"/>
          <w:b/>
          <w:sz w:val="22"/>
          <w:szCs w:val="22"/>
          <w:lang w:val="en-US"/>
        </w:rPr>
        <w:t>YOUNG PEOPLE</w:t>
      </w:r>
      <w:r>
        <w:rPr>
          <w:rFonts w:asciiTheme="minorHAnsi" w:hAnsiTheme="minorHAnsi" w:cstheme="minorHAnsi"/>
          <w:b/>
          <w:sz w:val="22"/>
          <w:szCs w:val="22"/>
          <w:lang w:val="en-US"/>
        </w:rPr>
        <w:t xml:space="preserve">  </w:t>
      </w:r>
    </w:p>
    <w:p w:rsidR="00A179B8" w:rsidRDefault="00A179B8" w:rsidP="00A179B8">
      <w:pPr>
        <w:pStyle w:val="ecxmsonormal"/>
        <w:spacing w:after="0"/>
        <w:jc w:val="both"/>
        <w:rPr>
          <w:rFonts w:asciiTheme="minorHAnsi" w:hAnsiTheme="minorHAnsi" w:cstheme="minorHAnsi"/>
          <w:sz w:val="22"/>
          <w:szCs w:val="22"/>
          <w:lang w:val="en-US"/>
        </w:rPr>
      </w:pPr>
      <w:r>
        <w:rPr>
          <w:rFonts w:asciiTheme="minorHAnsi" w:hAnsiTheme="minorHAnsi" w:cstheme="minorHAnsi"/>
          <w:sz w:val="22"/>
          <w:szCs w:val="22"/>
          <w:lang w:val="en-US"/>
        </w:rPr>
        <w:t>As</w:t>
      </w:r>
      <w:r w:rsidR="00840C29" w:rsidRPr="00840C29">
        <w:rPr>
          <w:rFonts w:asciiTheme="minorHAnsi" w:hAnsiTheme="minorHAnsi" w:cstheme="minorHAnsi"/>
          <w:sz w:val="22"/>
          <w:szCs w:val="22"/>
          <w:lang w:val="en-US"/>
        </w:rPr>
        <w:t xml:space="preserve"> member</w:t>
      </w:r>
      <w:r>
        <w:rPr>
          <w:rFonts w:asciiTheme="minorHAnsi" w:hAnsiTheme="minorHAnsi" w:cstheme="minorHAnsi"/>
          <w:sz w:val="22"/>
          <w:szCs w:val="22"/>
          <w:lang w:val="en-US"/>
        </w:rPr>
        <w:t>s</w:t>
      </w:r>
      <w:r w:rsidR="00840C29" w:rsidRPr="00840C29">
        <w:rPr>
          <w:rFonts w:asciiTheme="minorHAnsi" w:hAnsiTheme="minorHAnsi" w:cstheme="minorHAnsi"/>
          <w:sz w:val="22"/>
          <w:szCs w:val="22"/>
          <w:lang w:val="en-US"/>
        </w:rPr>
        <w:t xml:space="preserve"> of the Gambling Harm Alliance, </w:t>
      </w:r>
      <w:r w:rsidR="00840C29">
        <w:rPr>
          <w:rFonts w:asciiTheme="minorHAnsi" w:hAnsiTheme="minorHAnsi" w:cstheme="minorHAnsi"/>
          <w:sz w:val="22"/>
          <w:szCs w:val="22"/>
          <w:lang w:val="en-US"/>
        </w:rPr>
        <w:t>we</w:t>
      </w:r>
      <w:r w:rsidR="00840C29" w:rsidRPr="00840C29">
        <w:rPr>
          <w:rFonts w:asciiTheme="minorHAnsi" w:hAnsiTheme="minorHAnsi" w:cstheme="minorHAnsi"/>
          <w:sz w:val="22"/>
          <w:szCs w:val="22"/>
          <w:lang w:val="en-US"/>
        </w:rPr>
        <w:t xml:space="preserve"> fully support its </w:t>
      </w:r>
      <w:r w:rsidR="00840C29">
        <w:rPr>
          <w:rFonts w:asciiTheme="minorHAnsi" w:hAnsiTheme="minorHAnsi" w:cstheme="minorHAnsi"/>
          <w:sz w:val="22"/>
          <w:szCs w:val="22"/>
          <w:lang w:val="en-US"/>
        </w:rPr>
        <w:t>detailed and referenced</w:t>
      </w:r>
      <w:r w:rsidR="002E53D6">
        <w:rPr>
          <w:rFonts w:asciiTheme="minorHAnsi" w:hAnsiTheme="minorHAnsi" w:cstheme="minorHAnsi"/>
          <w:sz w:val="22"/>
          <w:szCs w:val="22"/>
          <w:lang w:val="en-US"/>
        </w:rPr>
        <w:t xml:space="preserve"> submission </w:t>
      </w:r>
      <w:r>
        <w:rPr>
          <w:rFonts w:asciiTheme="minorHAnsi" w:hAnsiTheme="minorHAnsi" w:cstheme="minorHAnsi"/>
          <w:sz w:val="22"/>
          <w:szCs w:val="22"/>
          <w:lang w:val="en-US"/>
        </w:rPr>
        <w:t xml:space="preserve">and have chosen not to replicate its findings and recommendations here. </w:t>
      </w:r>
      <w:r w:rsidR="00002215">
        <w:rPr>
          <w:rFonts w:asciiTheme="minorHAnsi" w:hAnsiTheme="minorHAnsi" w:cstheme="minorHAnsi"/>
          <w:sz w:val="22"/>
          <w:szCs w:val="22"/>
          <w:lang w:val="en-US"/>
        </w:rPr>
        <w:t xml:space="preserve"> </w:t>
      </w:r>
      <w:r w:rsidR="00CC4916">
        <w:rPr>
          <w:rFonts w:asciiTheme="minorHAnsi" w:hAnsiTheme="minorHAnsi" w:cstheme="minorHAnsi"/>
          <w:sz w:val="22"/>
          <w:szCs w:val="22"/>
          <w:lang w:val="en-US"/>
        </w:rPr>
        <w:t>We</w:t>
      </w:r>
      <w:r>
        <w:rPr>
          <w:rFonts w:asciiTheme="minorHAnsi" w:hAnsiTheme="minorHAnsi" w:cstheme="minorHAnsi"/>
          <w:sz w:val="22"/>
          <w:szCs w:val="22"/>
          <w:lang w:val="en-US"/>
        </w:rPr>
        <w:t xml:space="preserve"> would, however, like to highlight </w:t>
      </w:r>
      <w:r w:rsidR="00024301">
        <w:rPr>
          <w:rFonts w:asciiTheme="minorHAnsi" w:hAnsiTheme="minorHAnsi" w:cstheme="minorHAnsi"/>
          <w:sz w:val="22"/>
          <w:szCs w:val="22"/>
          <w:lang w:val="en-US"/>
        </w:rPr>
        <w:t xml:space="preserve">some key </w:t>
      </w:r>
      <w:r w:rsidR="00792213">
        <w:rPr>
          <w:rFonts w:asciiTheme="minorHAnsi" w:hAnsiTheme="minorHAnsi" w:cstheme="minorHAnsi"/>
          <w:sz w:val="22"/>
          <w:szCs w:val="22"/>
          <w:lang w:val="en-US"/>
        </w:rPr>
        <w:t>elements</w:t>
      </w:r>
      <w:r>
        <w:rPr>
          <w:rFonts w:asciiTheme="minorHAnsi" w:hAnsiTheme="minorHAnsi" w:cstheme="minorHAnsi"/>
          <w:sz w:val="22"/>
          <w:szCs w:val="22"/>
          <w:lang w:val="en-US"/>
        </w:rPr>
        <w:t xml:space="preserve"> which we feel are particularly important if the risks of experiencing gambling-related harm </w:t>
      </w:r>
      <w:r w:rsidR="00024301">
        <w:rPr>
          <w:rFonts w:asciiTheme="minorHAnsi" w:hAnsiTheme="minorHAnsi" w:cstheme="minorHAnsi"/>
          <w:sz w:val="22"/>
          <w:szCs w:val="22"/>
          <w:lang w:val="en-US"/>
        </w:rPr>
        <w:t>are</w:t>
      </w:r>
      <w:r>
        <w:rPr>
          <w:rFonts w:asciiTheme="minorHAnsi" w:hAnsiTheme="minorHAnsi" w:cstheme="minorHAnsi"/>
          <w:sz w:val="22"/>
          <w:szCs w:val="22"/>
          <w:lang w:val="en-US"/>
        </w:rPr>
        <w:t xml:space="preserve"> to be significantly reduced</w:t>
      </w:r>
      <w:r w:rsidR="00024301">
        <w:rPr>
          <w:rFonts w:asciiTheme="minorHAnsi" w:hAnsiTheme="minorHAnsi" w:cstheme="minorHAnsi"/>
          <w:sz w:val="22"/>
          <w:szCs w:val="22"/>
          <w:lang w:val="en-US"/>
        </w:rPr>
        <w:t>.</w:t>
      </w:r>
    </w:p>
    <w:p w:rsidR="00F24362" w:rsidRDefault="00F24362" w:rsidP="00F24362">
      <w:pPr>
        <w:rPr>
          <w:b/>
          <w:sz w:val="22"/>
          <w:szCs w:val="22"/>
        </w:rPr>
      </w:pPr>
    </w:p>
    <w:p w:rsidR="00507BBD" w:rsidRDefault="00561BDF" w:rsidP="00507BBD">
      <w:pPr>
        <w:rPr>
          <w:b/>
          <w:sz w:val="22"/>
          <w:szCs w:val="22"/>
        </w:rPr>
      </w:pPr>
      <w:r>
        <w:rPr>
          <w:b/>
          <w:sz w:val="22"/>
          <w:szCs w:val="22"/>
        </w:rPr>
        <w:t>4.1</w:t>
      </w:r>
      <w:r>
        <w:rPr>
          <w:b/>
          <w:sz w:val="22"/>
          <w:szCs w:val="22"/>
        </w:rPr>
        <w:tab/>
      </w:r>
      <w:r w:rsidR="00507BBD">
        <w:rPr>
          <w:b/>
          <w:sz w:val="22"/>
          <w:szCs w:val="22"/>
        </w:rPr>
        <w:t>Advertising and promotions</w:t>
      </w:r>
    </w:p>
    <w:p w:rsidR="00507BBD" w:rsidRDefault="00507BBD" w:rsidP="00507BBD">
      <w:pPr>
        <w:jc w:val="both"/>
        <w:rPr>
          <w:sz w:val="22"/>
          <w:szCs w:val="22"/>
        </w:rPr>
      </w:pPr>
      <w:r w:rsidRPr="000C7A34">
        <w:rPr>
          <w:sz w:val="22"/>
          <w:szCs w:val="22"/>
        </w:rPr>
        <w:t xml:space="preserve">The exponential increase in the level of gambling advertising, promotions and marketing over </w:t>
      </w:r>
      <w:r>
        <w:rPr>
          <w:sz w:val="22"/>
          <w:szCs w:val="22"/>
        </w:rPr>
        <w:t xml:space="preserve">recent </w:t>
      </w:r>
      <w:r w:rsidRPr="000C7A34">
        <w:rPr>
          <w:sz w:val="22"/>
          <w:szCs w:val="22"/>
        </w:rPr>
        <w:t xml:space="preserve">years has succeeded in normalising gambling, and gamblifying sport.  </w:t>
      </w:r>
      <w:r>
        <w:rPr>
          <w:sz w:val="22"/>
          <w:szCs w:val="22"/>
        </w:rPr>
        <w:t>Actions such as personalised incentives,</w:t>
      </w:r>
      <w:r w:rsidRPr="000C7A34">
        <w:rPr>
          <w:sz w:val="22"/>
          <w:szCs w:val="22"/>
        </w:rPr>
        <w:t xml:space="preserve"> promotions</w:t>
      </w:r>
      <w:r>
        <w:rPr>
          <w:sz w:val="22"/>
          <w:szCs w:val="22"/>
        </w:rPr>
        <w:t xml:space="preserve"> and</w:t>
      </w:r>
      <w:r w:rsidRPr="000C7A34">
        <w:rPr>
          <w:sz w:val="22"/>
          <w:szCs w:val="22"/>
        </w:rPr>
        <w:t xml:space="preserve"> VIP accounts</w:t>
      </w:r>
      <w:r>
        <w:rPr>
          <w:sz w:val="22"/>
          <w:szCs w:val="22"/>
        </w:rPr>
        <w:t>, with the increasing use of sophisticated algorithms,</w:t>
      </w:r>
      <w:r w:rsidRPr="000C7A34">
        <w:rPr>
          <w:sz w:val="22"/>
          <w:szCs w:val="22"/>
        </w:rPr>
        <w:t xml:space="preserve"> have </w:t>
      </w:r>
      <w:r>
        <w:rPr>
          <w:sz w:val="22"/>
          <w:szCs w:val="22"/>
        </w:rPr>
        <w:t xml:space="preserve">seriously undermined the stated intentions of the industry to help improve customer protection. </w:t>
      </w:r>
      <w:r w:rsidRPr="00552D2F">
        <w:rPr>
          <w:sz w:val="22"/>
          <w:szCs w:val="22"/>
        </w:rPr>
        <w:t xml:space="preserve"> </w:t>
      </w:r>
    </w:p>
    <w:p w:rsidR="00507BBD" w:rsidRDefault="00507BBD" w:rsidP="00507BBD">
      <w:pPr>
        <w:rPr>
          <w:sz w:val="22"/>
          <w:szCs w:val="22"/>
        </w:rPr>
      </w:pPr>
    </w:p>
    <w:p w:rsidR="00507BBD" w:rsidRDefault="00507BBD" w:rsidP="00507BBD">
      <w:pPr>
        <w:jc w:val="both"/>
        <w:rPr>
          <w:rStyle w:val="hgkelc"/>
          <w:sz w:val="22"/>
          <w:szCs w:val="22"/>
        </w:rPr>
      </w:pPr>
      <w:r w:rsidRPr="00552D2F">
        <w:rPr>
          <w:sz w:val="22"/>
          <w:szCs w:val="22"/>
        </w:rPr>
        <w:t xml:space="preserve">It is our </w:t>
      </w:r>
      <w:r>
        <w:rPr>
          <w:sz w:val="22"/>
          <w:szCs w:val="22"/>
        </w:rPr>
        <w:t xml:space="preserve">strong </w:t>
      </w:r>
      <w:r w:rsidRPr="00552D2F">
        <w:rPr>
          <w:sz w:val="22"/>
          <w:szCs w:val="22"/>
        </w:rPr>
        <w:t xml:space="preserve">view that </w:t>
      </w:r>
      <w:r w:rsidRPr="00552D2F">
        <w:rPr>
          <w:rStyle w:val="hgkelc"/>
          <w:sz w:val="22"/>
          <w:szCs w:val="22"/>
        </w:rPr>
        <w:t xml:space="preserve">ubiquitous </w:t>
      </w:r>
      <w:r>
        <w:rPr>
          <w:rStyle w:val="hgkelc"/>
          <w:sz w:val="22"/>
          <w:szCs w:val="22"/>
        </w:rPr>
        <w:t xml:space="preserve">gambling </w:t>
      </w:r>
      <w:r w:rsidRPr="00552D2F">
        <w:rPr>
          <w:rStyle w:val="hgkelc"/>
          <w:sz w:val="22"/>
          <w:szCs w:val="22"/>
        </w:rPr>
        <w:t>advertising must</w:t>
      </w:r>
      <w:r>
        <w:rPr>
          <w:rStyle w:val="hgkelc"/>
          <w:sz w:val="22"/>
          <w:szCs w:val="22"/>
        </w:rPr>
        <w:t xml:space="preserve"> now be brought to an end, with a complete ban on advertising, promotions, VIP schemes, and sports sponsorship.  Until this can be achieved, we recommend:</w:t>
      </w:r>
    </w:p>
    <w:p w:rsidR="00507BBD" w:rsidRPr="00552D2F" w:rsidRDefault="00507BBD" w:rsidP="00507BBD">
      <w:pPr>
        <w:pStyle w:val="ListParagraph"/>
        <w:numPr>
          <w:ilvl w:val="0"/>
          <w:numId w:val="10"/>
        </w:numPr>
        <w:spacing w:before="120"/>
        <w:ind w:left="714" w:hanging="357"/>
        <w:contextualSpacing w:val="0"/>
        <w:rPr>
          <w:sz w:val="22"/>
          <w:szCs w:val="22"/>
        </w:rPr>
      </w:pPr>
      <w:r>
        <w:rPr>
          <w:sz w:val="22"/>
          <w:szCs w:val="22"/>
        </w:rPr>
        <w:t>A b</w:t>
      </w:r>
      <w:r w:rsidRPr="00552D2F">
        <w:rPr>
          <w:sz w:val="22"/>
          <w:szCs w:val="22"/>
        </w:rPr>
        <w:t xml:space="preserve">an </w:t>
      </w:r>
      <w:r>
        <w:rPr>
          <w:sz w:val="22"/>
          <w:szCs w:val="22"/>
        </w:rPr>
        <w:t xml:space="preserve">on </w:t>
      </w:r>
      <w:r w:rsidRPr="00552D2F">
        <w:rPr>
          <w:sz w:val="22"/>
          <w:szCs w:val="22"/>
        </w:rPr>
        <w:t>gambling advertising and sponsorship in sport, including sports venues and eSports</w:t>
      </w:r>
      <w:r>
        <w:rPr>
          <w:sz w:val="22"/>
          <w:szCs w:val="22"/>
        </w:rPr>
        <w:t>.</w:t>
      </w:r>
      <w:r w:rsidRPr="00552D2F">
        <w:rPr>
          <w:sz w:val="22"/>
          <w:szCs w:val="22"/>
        </w:rPr>
        <w:t xml:space="preserve">  </w:t>
      </w:r>
    </w:p>
    <w:p w:rsidR="00507BBD" w:rsidRDefault="00507BBD" w:rsidP="00507BBD">
      <w:pPr>
        <w:pStyle w:val="ListParagraph"/>
        <w:numPr>
          <w:ilvl w:val="0"/>
          <w:numId w:val="10"/>
        </w:numPr>
        <w:contextualSpacing w:val="0"/>
        <w:rPr>
          <w:sz w:val="22"/>
          <w:szCs w:val="22"/>
        </w:rPr>
      </w:pPr>
      <w:r>
        <w:rPr>
          <w:sz w:val="22"/>
          <w:szCs w:val="22"/>
        </w:rPr>
        <w:t xml:space="preserve">A ban on </w:t>
      </w:r>
      <w:r w:rsidRPr="00552D2F">
        <w:rPr>
          <w:sz w:val="22"/>
          <w:szCs w:val="22"/>
        </w:rPr>
        <w:t>advertising and marketing which persuades people to start gambling, to gamble more, or to gamble with additional operators</w:t>
      </w:r>
      <w:r>
        <w:rPr>
          <w:sz w:val="22"/>
          <w:szCs w:val="22"/>
        </w:rPr>
        <w:t>.</w:t>
      </w:r>
    </w:p>
    <w:p w:rsidR="00507BBD" w:rsidRPr="00507BBD" w:rsidRDefault="00507BBD" w:rsidP="00507BBD">
      <w:pPr>
        <w:pStyle w:val="ListParagraph"/>
        <w:numPr>
          <w:ilvl w:val="0"/>
          <w:numId w:val="10"/>
        </w:numPr>
        <w:spacing w:after="120"/>
        <w:ind w:left="714" w:hanging="357"/>
        <w:contextualSpacing w:val="0"/>
        <w:rPr>
          <w:sz w:val="22"/>
          <w:szCs w:val="22"/>
        </w:rPr>
      </w:pPr>
      <w:r w:rsidRPr="00507BBD">
        <w:rPr>
          <w:sz w:val="22"/>
          <w:szCs w:val="22"/>
        </w:rPr>
        <w:t xml:space="preserve"> </w:t>
      </w:r>
      <w:r>
        <w:rPr>
          <w:sz w:val="22"/>
          <w:szCs w:val="22"/>
        </w:rPr>
        <w:t>The i</w:t>
      </w:r>
      <w:r w:rsidRPr="00552D2F">
        <w:rPr>
          <w:sz w:val="22"/>
          <w:szCs w:val="22"/>
        </w:rPr>
        <w:t>ntroduc</w:t>
      </w:r>
      <w:r>
        <w:rPr>
          <w:sz w:val="22"/>
          <w:szCs w:val="22"/>
        </w:rPr>
        <w:t>tion of</w:t>
      </w:r>
      <w:r w:rsidRPr="00552D2F">
        <w:rPr>
          <w:sz w:val="22"/>
          <w:szCs w:val="22"/>
        </w:rPr>
        <w:t xml:space="preserve"> tighter r</w:t>
      </w:r>
      <w:r>
        <w:rPr>
          <w:sz w:val="22"/>
          <w:szCs w:val="22"/>
        </w:rPr>
        <w:t>egulation</w:t>
      </w:r>
      <w:r w:rsidRPr="00552D2F">
        <w:rPr>
          <w:sz w:val="22"/>
          <w:szCs w:val="22"/>
        </w:rPr>
        <w:t xml:space="preserve"> around advertising in-game purchases</w:t>
      </w:r>
      <w:r>
        <w:rPr>
          <w:sz w:val="22"/>
          <w:szCs w:val="22"/>
        </w:rPr>
        <w:t>.</w:t>
      </w:r>
    </w:p>
    <w:p w:rsidR="00F24362" w:rsidRPr="00EC6B49" w:rsidRDefault="00561BDF" w:rsidP="00F24362">
      <w:pPr>
        <w:rPr>
          <w:sz w:val="22"/>
          <w:szCs w:val="22"/>
        </w:rPr>
      </w:pPr>
      <w:r>
        <w:rPr>
          <w:b/>
          <w:sz w:val="22"/>
          <w:szCs w:val="22"/>
        </w:rPr>
        <w:t>4.2</w:t>
      </w:r>
      <w:r>
        <w:rPr>
          <w:b/>
          <w:sz w:val="22"/>
          <w:szCs w:val="22"/>
        </w:rPr>
        <w:tab/>
      </w:r>
      <w:r w:rsidR="00F24362" w:rsidRPr="00EC6B49">
        <w:rPr>
          <w:b/>
          <w:sz w:val="22"/>
          <w:szCs w:val="22"/>
        </w:rPr>
        <w:t xml:space="preserve">Children and Young People </w:t>
      </w:r>
    </w:p>
    <w:p w:rsidR="00E57560" w:rsidRDefault="00F24362" w:rsidP="00E57560">
      <w:pPr>
        <w:jc w:val="both"/>
        <w:rPr>
          <w:sz w:val="22"/>
          <w:szCs w:val="22"/>
        </w:rPr>
      </w:pPr>
      <w:r>
        <w:rPr>
          <w:sz w:val="22"/>
          <w:szCs w:val="22"/>
        </w:rPr>
        <w:t>The particular susceptibility of children and young people to the inherent risks of gambling should be a priority for new legislation and regulation.</w:t>
      </w:r>
      <w:r w:rsidR="00E57560">
        <w:rPr>
          <w:sz w:val="22"/>
          <w:szCs w:val="22"/>
        </w:rPr>
        <w:t xml:space="preserve">  We support the call for a ban on all gambling for young people aged under-18, including Category D machines, and the classification of loot boxes and in-game purchases as gambling. </w:t>
      </w:r>
    </w:p>
    <w:p w:rsidR="00E57560" w:rsidRDefault="00E57560" w:rsidP="00F24362">
      <w:pPr>
        <w:jc w:val="both"/>
        <w:rPr>
          <w:sz w:val="22"/>
          <w:szCs w:val="22"/>
        </w:rPr>
      </w:pPr>
    </w:p>
    <w:p w:rsidR="005E6738" w:rsidRDefault="00F24362" w:rsidP="00F24362">
      <w:pPr>
        <w:jc w:val="both"/>
        <w:rPr>
          <w:sz w:val="22"/>
          <w:szCs w:val="22"/>
        </w:rPr>
      </w:pPr>
      <w:r>
        <w:rPr>
          <w:sz w:val="22"/>
          <w:szCs w:val="22"/>
        </w:rPr>
        <w:t>In 2018, the Lord Bishop of St Albans described the Gambling Commission’s findings that 55,000 children had been diagnosed as problem gamblers as a ‘</w:t>
      </w:r>
      <w:r w:rsidRPr="008936E7">
        <w:rPr>
          <w:i/>
          <w:sz w:val="22"/>
          <w:szCs w:val="22"/>
        </w:rPr>
        <w:t>generational scandal’</w:t>
      </w:r>
      <w:r>
        <w:rPr>
          <w:sz w:val="22"/>
          <w:szCs w:val="22"/>
        </w:rPr>
        <w:t>.  Wardle et al’s written evidence</w:t>
      </w:r>
      <w:r>
        <w:rPr>
          <w:rStyle w:val="FootnoteReference"/>
          <w:sz w:val="22"/>
          <w:szCs w:val="22"/>
        </w:rPr>
        <w:footnoteReference w:id="15"/>
      </w:r>
      <w:r>
        <w:rPr>
          <w:sz w:val="22"/>
          <w:szCs w:val="22"/>
        </w:rPr>
        <w:t xml:space="preserve"> commented that gambling amongst 11-16 year olds is now </w:t>
      </w:r>
      <w:r w:rsidRPr="00E51D8C">
        <w:rPr>
          <w:i/>
          <w:sz w:val="22"/>
          <w:szCs w:val="22"/>
        </w:rPr>
        <w:t>‘more prevalent ...than smoking cigarettes, drinking alcohol or using drugs.</w:t>
      </w:r>
      <w:r w:rsidRPr="008936E7">
        <w:rPr>
          <w:sz w:val="22"/>
          <w:szCs w:val="22"/>
        </w:rPr>
        <w:t>’</w:t>
      </w:r>
      <w:r>
        <w:rPr>
          <w:sz w:val="22"/>
          <w:szCs w:val="22"/>
        </w:rPr>
        <w:t xml:space="preserve"> More recently, the Commission confirmed that 58% of 11-16 year olds have seen or heard g</w:t>
      </w:r>
      <w:r w:rsidR="007552DC">
        <w:rPr>
          <w:sz w:val="22"/>
          <w:szCs w:val="22"/>
        </w:rPr>
        <w:t>ambling adverts or sponsorship;</w:t>
      </w:r>
      <w:r>
        <w:rPr>
          <w:sz w:val="22"/>
          <w:szCs w:val="22"/>
        </w:rPr>
        <w:t xml:space="preserve"> 7%</w:t>
      </w:r>
      <w:r w:rsidR="007552DC">
        <w:rPr>
          <w:sz w:val="22"/>
          <w:szCs w:val="22"/>
        </w:rPr>
        <w:t xml:space="preserve"> of these</w:t>
      </w:r>
      <w:r>
        <w:rPr>
          <w:sz w:val="22"/>
          <w:szCs w:val="22"/>
        </w:rPr>
        <w:t xml:space="preserve"> </w:t>
      </w:r>
      <w:r w:rsidR="007552DC">
        <w:rPr>
          <w:sz w:val="22"/>
          <w:szCs w:val="22"/>
        </w:rPr>
        <w:t>(approximately 970,000)</w:t>
      </w:r>
      <w:r>
        <w:rPr>
          <w:sz w:val="22"/>
          <w:szCs w:val="22"/>
        </w:rPr>
        <w:t>said that this had prompted them to gamble when they had not intended to.</w:t>
      </w:r>
      <w:r>
        <w:rPr>
          <w:rStyle w:val="FootnoteReference"/>
          <w:sz w:val="22"/>
          <w:szCs w:val="22"/>
        </w:rPr>
        <w:footnoteReference w:id="16"/>
      </w:r>
      <w:r>
        <w:rPr>
          <w:sz w:val="22"/>
          <w:szCs w:val="22"/>
        </w:rPr>
        <w:t xml:space="preserve">  It may be helpful to reflect that today’s 15 year old problem gambler may soon be a</w:t>
      </w:r>
      <w:r w:rsidR="007552DC">
        <w:rPr>
          <w:sz w:val="22"/>
          <w:szCs w:val="22"/>
        </w:rPr>
        <w:t xml:space="preserve"> parent</w:t>
      </w:r>
      <w:r w:rsidR="00C03291">
        <w:rPr>
          <w:sz w:val="22"/>
          <w:szCs w:val="22"/>
        </w:rPr>
        <w:t xml:space="preserve"> themselves: </w:t>
      </w:r>
      <w:r>
        <w:rPr>
          <w:sz w:val="22"/>
          <w:szCs w:val="22"/>
        </w:rPr>
        <w:t xml:space="preserve">breaking the cycle of addiction </w:t>
      </w:r>
      <w:r w:rsidR="00C03291">
        <w:rPr>
          <w:sz w:val="22"/>
          <w:szCs w:val="22"/>
        </w:rPr>
        <w:t>is a matter of urgency.</w:t>
      </w:r>
      <w:r w:rsidR="005E6738">
        <w:rPr>
          <w:sz w:val="22"/>
          <w:szCs w:val="22"/>
        </w:rPr>
        <w:t xml:space="preserve">  </w:t>
      </w:r>
      <w:r w:rsidR="00E57560">
        <w:rPr>
          <w:sz w:val="22"/>
          <w:szCs w:val="22"/>
        </w:rPr>
        <w:t xml:space="preserve">Further research is needed to analyse the ways </w:t>
      </w:r>
      <w:r w:rsidR="00034267">
        <w:rPr>
          <w:sz w:val="22"/>
          <w:szCs w:val="22"/>
        </w:rPr>
        <w:t xml:space="preserve">in which </w:t>
      </w:r>
      <w:r w:rsidR="00E57560">
        <w:rPr>
          <w:sz w:val="22"/>
          <w:szCs w:val="22"/>
        </w:rPr>
        <w:t xml:space="preserve">children are </w:t>
      </w:r>
      <w:r w:rsidR="005C6ECF">
        <w:rPr>
          <w:sz w:val="22"/>
          <w:szCs w:val="22"/>
        </w:rPr>
        <w:t>exposed</w:t>
      </w:r>
      <w:r w:rsidR="00E57560">
        <w:rPr>
          <w:sz w:val="22"/>
          <w:szCs w:val="22"/>
        </w:rPr>
        <w:t xml:space="preserve"> to gambling advertising to inform the development of more effective restrictions. </w:t>
      </w:r>
    </w:p>
    <w:p w:rsidR="005E6738" w:rsidRDefault="005E6738" w:rsidP="00F24362">
      <w:pPr>
        <w:jc w:val="both"/>
        <w:rPr>
          <w:sz w:val="22"/>
          <w:szCs w:val="22"/>
        </w:rPr>
      </w:pPr>
    </w:p>
    <w:p w:rsidR="00507BBD" w:rsidRDefault="005E6738" w:rsidP="00507BBD">
      <w:pPr>
        <w:jc w:val="both"/>
        <w:rPr>
          <w:sz w:val="22"/>
          <w:szCs w:val="22"/>
        </w:rPr>
      </w:pPr>
      <w:r>
        <w:rPr>
          <w:sz w:val="22"/>
          <w:szCs w:val="22"/>
        </w:rPr>
        <w:t>Further protection is also needed for y</w:t>
      </w:r>
      <w:r w:rsidR="00E57560">
        <w:rPr>
          <w:sz w:val="22"/>
          <w:szCs w:val="22"/>
        </w:rPr>
        <w:t>oung adults (18-24 years)</w:t>
      </w:r>
      <w:r w:rsidR="00034267">
        <w:rPr>
          <w:sz w:val="22"/>
          <w:szCs w:val="22"/>
        </w:rPr>
        <w:t xml:space="preserve"> </w:t>
      </w:r>
      <w:r>
        <w:rPr>
          <w:sz w:val="22"/>
          <w:szCs w:val="22"/>
        </w:rPr>
        <w:t>who are known to experience some of the</w:t>
      </w:r>
      <w:r w:rsidR="00AC53A2">
        <w:rPr>
          <w:sz w:val="22"/>
          <w:szCs w:val="22"/>
        </w:rPr>
        <w:t xml:space="preserve"> highest </w:t>
      </w:r>
      <w:r>
        <w:rPr>
          <w:sz w:val="22"/>
          <w:szCs w:val="22"/>
        </w:rPr>
        <w:t>rates of</w:t>
      </w:r>
      <w:r w:rsidR="00AC53A2">
        <w:rPr>
          <w:sz w:val="22"/>
          <w:szCs w:val="22"/>
        </w:rPr>
        <w:t xml:space="preserve"> problem gambling. Access to large sums of money from employment or student loa</w:t>
      </w:r>
      <w:r>
        <w:rPr>
          <w:sz w:val="22"/>
          <w:szCs w:val="22"/>
        </w:rPr>
        <w:t>n</w:t>
      </w:r>
      <w:r w:rsidR="00AC53A2">
        <w:rPr>
          <w:sz w:val="22"/>
          <w:szCs w:val="22"/>
        </w:rPr>
        <w:t xml:space="preserve">s, </w:t>
      </w:r>
      <w:r>
        <w:rPr>
          <w:sz w:val="22"/>
          <w:szCs w:val="22"/>
        </w:rPr>
        <w:t>and</w:t>
      </w:r>
      <w:r w:rsidR="00AC53A2">
        <w:rPr>
          <w:sz w:val="22"/>
          <w:szCs w:val="22"/>
        </w:rPr>
        <w:t xml:space="preserve"> living independently for the first time, coincides with </w:t>
      </w:r>
      <w:r>
        <w:rPr>
          <w:sz w:val="22"/>
          <w:szCs w:val="22"/>
        </w:rPr>
        <w:t>being able</w:t>
      </w:r>
      <w:r w:rsidR="00AC53A2">
        <w:rPr>
          <w:sz w:val="22"/>
          <w:szCs w:val="22"/>
        </w:rPr>
        <w:t xml:space="preserve"> to gamble legally</w:t>
      </w:r>
      <w:r>
        <w:rPr>
          <w:sz w:val="22"/>
          <w:szCs w:val="22"/>
        </w:rPr>
        <w:t xml:space="preserve">.  The Avon Longitudinal Study of Parents and Children’s study of gambling amongst 17-24 year olds concludes that </w:t>
      </w:r>
      <w:r w:rsidRPr="005E6738">
        <w:rPr>
          <w:i/>
          <w:sz w:val="22"/>
          <w:szCs w:val="22"/>
        </w:rPr>
        <w:t>‘patterns of problem/moderate risk gambling were set by the age of 20 years.’</w:t>
      </w:r>
      <w:r>
        <w:rPr>
          <w:rStyle w:val="FootnoteReference"/>
          <w:i/>
          <w:sz w:val="22"/>
          <w:szCs w:val="22"/>
        </w:rPr>
        <w:footnoteReference w:id="17"/>
      </w:r>
      <w:r>
        <w:rPr>
          <w:i/>
          <w:sz w:val="22"/>
          <w:szCs w:val="22"/>
        </w:rPr>
        <w:t xml:space="preserve"> </w:t>
      </w:r>
    </w:p>
    <w:p w:rsidR="00331E13" w:rsidRPr="00507BBD" w:rsidRDefault="00561BDF" w:rsidP="00507BBD">
      <w:pPr>
        <w:jc w:val="both"/>
        <w:rPr>
          <w:sz w:val="22"/>
          <w:szCs w:val="22"/>
        </w:rPr>
      </w:pPr>
      <w:r>
        <w:rPr>
          <w:b/>
          <w:sz w:val="22"/>
          <w:szCs w:val="22"/>
        </w:rPr>
        <w:lastRenderedPageBreak/>
        <w:t>4.3</w:t>
      </w:r>
      <w:r>
        <w:rPr>
          <w:b/>
          <w:sz w:val="22"/>
          <w:szCs w:val="22"/>
        </w:rPr>
        <w:tab/>
      </w:r>
      <w:r w:rsidR="00331E13">
        <w:rPr>
          <w:b/>
          <w:sz w:val="22"/>
          <w:szCs w:val="22"/>
        </w:rPr>
        <w:t>Making products safer</w:t>
      </w:r>
    </w:p>
    <w:p w:rsidR="00331E13" w:rsidRDefault="00792213" w:rsidP="00552D2F">
      <w:pPr>
        <w:jc w:val="both"/>
        <w:textAlignment w:val="baseline"/>
        <w:rPr>
          <w:sz w:val="22"/>
          <w:szCs w:val="22"/>
        </w:rPr>
      </w:pPr>
      <w:r>
        <w:rPr>
          <w:sz w:val="22"/>
          <w:szCs w:val="22"/>
        </w:rPr>
        <w:t>The</w:t>
      </w:r>
      <w:r w:rsidR="00331E13">
        <w:rPr>
          <w:sz w:val="22"/>
          <w:szCs w:val="22"/>
        </w:rPr>
        <w:t xml:space="preserve"> </w:t>
      </w:r>
      <w:r w:rsidR="00331E13" w:rsidRPr="00516E69">
        <w:rPr>
          <w:sz w:val="22"/>
          <w:szCs w:val="22"/>
        </w:rPr>
        <w:t>Gambling Commission</w:t>
      </w:r>
      <w:r w:rsidR="00106279">
        <w:rPr>
          <w:sz w:val="22"/>
          <w:szCs w:val="22"/>
        </w:rPr>
        <w:t>’s</w:t>
      </w:r>
      <w:r w:rsidR="00331E13" w:rsidRPr="00516E69">
        <w:rPr>
          <w:sz w:val="22"/>
          <w:szCs w:val="22"/>
        </w:rPr>
        <w:t xml:space="preserve"> recent announcement </w:t>
      </w:r>
      <w:r w:rsidR="00331E13">
        <w:rPr>
          <w:sz w:val="22"/>
          <w:szCs w:val="22"/>
        </w:rPr>
        <w:t>re</w:t>
      </w:r>
      <w:r w:rsidR="000F2DE7">
        <w:rPr>
          <w:sz w:val="22"/>
          <w:szCs w:val="22"/>
        </w:rPr>
        <w:t>garding tighter</w:t>
      </w:r>
      <w:r w:rsidR="00331E13">
        <w:rPr>
          <w:sz w:val="22"/>
          <w:szCs w:val="22"/>
        </w:rPr>
        <w:t xml:space="preserve"> restrictions on </w:t>
      </w:r>
      <w:r w:rsidR="00552D2F">
        <w:rPr>
          <w:sz w:val="22"/>
          <w:szCs w:val="22"/>
        </w:rPr>
        <w:t xml:space="preserve">online </w:t>
      </w:r>
      <w:r w:rsidR="00331E13">
        <w:rPr>
          <w:sz w:val="22"/>
          <w:szCs w:val="22"/>
        </w:rPr>
        <w:t>spin speeds, autoplay, and losses disguised as wins</w:t>
      </w:r>
      <w:r w:rsidR="000F2DE7">
        <w:rPr>
          <w:sz w:val="22"/>
          <w:szCs w:val="22"/>
        </w:rPr>
        <w:t>, and a ban on reverse withdrawals</w:t>
      </w:r>
      <w:r>
        <w:rPr>
          <w:sz w:val="22"/>
          <w:szCs w:val="22"/>
        </w:rPr>
        <w:t xml:space="preserve"> were very welcome</w:t>
      </w:r>
      <w:r w:rsidR="000F2DE7">
        <w:rPr>
          <w:sz w:val="22"/>
          <w:szCs w:val="22"/>
        </w:rPr>
        <w:t xml:space="preserve"> and</w:t>
      </w:r>
      <w:r w:rsidR="003A5243">
        <w:rPr>
          <w:sz w:val="22"/>
          <w:szCs w:val="22"/>
        </w:rPr>
        <w:t xml:space="preserve"> we</w:t>
      </w:r>
      <w:r w:rsidR="00331E13">
        <w:rPr>
          <w:sz w:val="22"/>
          <w:szCs w:val="22"/>
        </w:rPr>
        <w:t xml:space="preserve"> hope that they </w:t>
      </w:r>
      <w:r w:rsidR="000F2DE7">
        <w:rPr>
          <w:sz w:val="22"/>
          <w:szCs w:val="22"/>
        </w:rPr>
        <w:t>will prove</w:t>
      </w:r>
      <w:r w:rsidR="00331E13">
        <w:rPr>
          <w:sz w:val="22"/>
          <w:szCs w:val="22"/>
        </w:rPr>
        <w:t xml:space="preserve"> effective in reducing harms at point of consumption.  However,</w:t>
      </w:r>
      <w:r w:rsidR="00106279">
        <w:rPr>
          <w:sz w:val="22"/>
          <w:szCs w:val="22"/>
        </w:rPr>
        <w:t xml:space="preserve"> they are long overdue, and we regret that</w:t>
      </w:r>
      <w:r w:rsidR="00331E13">
        <w:rPr>
          <w:sz w:val="22"/>
          <w:szCs w:val="22"/>
        </w:rPr>
        <w:t xml:space="preserve"> implementation </w:t>
      </w:r>
      <w:r w:rsidR="00552D2F">
        <w:rPr>
          <w:sz w:val="22"/>
          <w:szCs w:val="22"/>
        </w:rPr>
        <w:t>may be</w:t>
      </w:r>
      <w:r w:rsidR="00331E13">
        <w:rPr>
          <w:sz w:val="22"/>
          <w:szCs w:val="22"/>
        </w:rPr>
        <w:t xml:space="preserve"> del</w:t>
      </w:r>
      <w:r w:rsidR="00552D2F">
        <w:rPr>
          <w:sz w:val="22"/>
          <w:szCs w:val="22"/>
        </w:rPr>
        <w:t xml:space="preserve">ayed until later this year.  </w:t>
      </w:r>
    </w:p>
    <w:p w:rsidR="00331E13" w:rsidRDefault="00331E13" w:rsidP="00331E13">
      <w:pPr>
        <w:textAlignment w:val="baseline"/>
        <w:rPr>
          <w:sz w:val="22"/>
          <w:szCs w:val="22"/>
        </w:rPr>
      </w:pPr>
    </w:p>
    <w:p w:rsidR="00331E13" w:rsidRPr="003A5243" w:rsidRDefault="00331E13" w:rsidP="00331E13">
      <w:pPr>
        <w:pStyle w:val="ecxmsonormal"/>
        <w:spacing w:after="0"/>
        <w:jc w:val="both"/>
        <w:rPr>
          <w:rFonts w:ascii="Calibri" w:hAnsi="Calibri" w:cs="Calibri"/>
          <w:sz w:val="22"/>
          <w:szCs w:val="22"/>
          <w:lang w:val="en-US"/>
        </w:rPr>
      </w:pPr>
      <w:r w:rsidRPr="003A5243">
        <w:rPr>
          <w:rFonts w:ascii="Calibri" w:hAnsi="Calibri" w:cs="Calibri"/>
          <w:sz w:val="22"/>
          <w:szCs w:val="22"/>
        </w:rPr>
        <w:t>We believe that there</w:t>
      </w:r>
      <w:r w:rsidRPr="003A5243">
        <w:rPr>
          <w:rFonts w:ascii="Calibri" w:hAnsi="Calibri" w:cs="Calibri"/>
          <w:sz w:val="22"/>
          <w:szCs w:val="22"/>
          <w:lang w:val="en-US"/>
        </w:rPr>
        <w:t xml:space="preserve"> is a strong case for classifying both existing and new products according to their assess</w:t>
      </w:r>
      <w:r w:rsidR="00CC5F7D">
        <w:rPr>
          <w:rFonts w:ascii="Calibri" w:hAnsi="Calibri" w:cs="Calibri"/>
          <w:sz w:val="22"/>
          <w:szCs w:val="22"/>
          <w:lang w:val="en-US"/>
        </w:rPr>
        <w:t>ment against harm indicators</w:t>
      </w:r>
      <w:r w:rsidRPr="003A5243">
        <w:rPr>
          <w:rFonts w:ascii="Calibri" w:hAnsi="Calibri" w:cs="Calibri"/>
          <w:sz w:val="22"/>
          <w:szCs w:val="22"/>
          <w:lang w:val="en-US"/>
        </w:rPr>
        <w:t xml:space="preserve">. </w:t>
      </w:r>
      <w:r w:rsidR="00CC5F7D">
        <w:rPr>
          <w:rFonts w:ascii="Calibri" w:hAnsi="Calibri" w:cs="Calibri"/>
          <w:sz w:val="22"/>
          <w:szCs w:val="22"/>
          <w:lang w:val="en-US"/>
        </w:rPr>
        <w:t xml:space="preserve"> </w:t>
      </w:r>
      <w:r w:rsidRPr="003A5243">
        <w:rPr>
          <w:rFonts w:ascii="Calibri" w:hAnsi="Calibri" w:cs="Calibri"/>
          <w:sz w:val="22"/>
          <w:szCs w:val="22"/>
          <w:lang w:val="en-US"/>
        </w:rPr>
        <w:t>We note</w:t>
      </w:r>
      <w:r w:rsidR="00E51D8C">
        <w:rPr>
          <w:rFonts w:ascii="Calibri" w:hAnsi="Calibri" w:cs="Calibri"/>
          <w:sz w:val="22"/>
          <w:szCs w:val="22"/>
          <w:lang w:val="en-US"/>
        </w:rPr>
        <w:t>, with concern,</w:t>
      </w:r>
      <w:r w:rsidRPr="003A5243">
        <w:rPr>
          <w:rFonts w:ascii="Calibri" w:hAnsi="Calibri" w:cs="Calibri"/>
          <w:sz w:val="22"/>
          <w:szCs w:val="22"/>
          <w:lang w:val="en-US"/>
        </w:rPr>
        <w:t xml:space="preserve"> recent evidence given by Dr Luke Clark (Professor of Psychology, University of British Columbia) </w:t>
      </w:r>
      <w:r w:rsidR="00E51D8C">
        <w:rPr>
          <w:rFonts w:ascii="Calibri" w:hAnsi="Calibri" w:cs="Calibri"/>
          <w:sz w:val="22"/>
          <w:szCs w:val="22"/>
          <w:lang w:val="en-US"/>
        </w:rPr>
        <w:t>regarding</w:t>
      </w:r>
      <w:r w:rsidRPr="003A5243">
        <w:rPr>
          <w:rFonts w:ascii="Calibri" w:hAnsi="Calibri" w:cs="Calibri"/>
          <w:sz w:val="22"/>
          <w:szCs w:val="22"/>
          <w:lang w:val="en-US"/>
        </w:rPr>
        <w:t xml:space="preserve"> </w:t>
      </w:r>
      <w:r w:rsidR="003A5243" w:rsidRPr="003A5243">
        <w:rPr>
          <w:rFonts w:ascii="Calibri" w:hAnsi="Calibri" w:cs="Calibri"/>
          <w:sz w:val="22"/>
          <w:szCs w:val="22"/>
          <w:lang w:val="en-US"/>
        </w:rPr>
        <w:t xml:space="preserve">the complexity of </w:t>
      </w:r>
      <w:r w:rsidRPr="003A5243">
        <w:rPr>
          <w:rFonts w:ascii="Calibri" w:hAnsi="Calibri" w:cs="Calibri"/>
          <w:sz w:val="22"/>
          <w:szCs w:val="22"/>
          <w:lang w:val="en-US"/>
        </w:rPr>
        <w:t>research into product design characteristics</w:t>
      </w:r>
      <w:r w:rsidRPr="003A5243">
        <w:rPr>
          <w:rStyle w:val="FootnoteReference"/>
          <w:rFonts w:ascii="Calibri" w:hAnsi="Calibri" w:cs="Calibri"/>
          <w:sz w:val="22"/>
          <w:szCs w:val="22"/>
          <w:lang w:val="en-US"/>
        </w:rPr>
        <w:footnoteReference w:id="18"/>
      </w:r>
      <w:r w:rsidRPr="003A5243">
        <w:rPr>
          <w:rFonts w:ascii="Calibri" w:hAnsi="Calibri" w:cs="Calibri"/>
          <w:sz w:val="22"/>
          <w:szCs w:val="22"/>
          <w:lang w:val="en-US"/>
        </w:rPr>
        <w:t xml:space="preserve">.  Dr Clark highlighted the industry’s reluctance to share their design codes, </w:t>
      </w:r>
      <w:r w:rsidR="00F019A1" w:rsidRPr="003A5243">
        <w:rPr>
          <w:rFonts w:ascii="Calibri" w:hAnsi="Calibri" w:cs="Calibri"/>
          <w:sz w:val="22"/>
          <w:szCs w:val="22"/>
          <w:lang w:val="en-US"/>
        </w:rPr>
        <w:t>making</w:t>
      </w:r>
      <w:r w:rsidRPr="003A5243">
        <w:rPr>
          <w:rFonts w:ascii="Calibri" w:hAnsi="Calibri" w:cs="Calibri"/>
          <w:sz w:val="22"/>
          <w:szCs w:val="22"/>
          <w:lang w:val="en-US"/>
        </w:rPr>
        <w:t xml:space="preserve"> it extremely difficult for researchers to reverse engineer products </w:t>
      </w:r>
      <w:r w:rsidR="00E51D8C">
        <w:rPr>
          <w:rFonts w:ascii="Calibri" w:hAnsi="Calibri" w:cs="Calibri"/>
          <w:sz w:val="22"/>
          <w:szCs w:val="22"/>
          <w:lang w:val="en-US"/>
        </w:rPr>
        <w:t>to analyse</w:t>
      </w:r>
      <w:r w:rsidRPr="003A5243">
        <w:rPr>
          <w:rFonts w:ascii="Calibri" w:hAnsi="Calibri" w:cs="Calibri"/>
          <w:sz w:val="22"/>
          <w:szCs w:val="22"/>
          <w:lang w:val="en-US"/>
        </w:rPr>
        <w:t xml:space="preserve"> their relative levels of risk.  He suggested that the industry could be mandated to share this information - </w:t>
      </w:r>
      <w:r w:rsidRPr="003A5243">
        <w:rPr>
          <w:rFonts w:ascii="Calibri" w:hAnsi="Calibri" w:cs="Calibri"/>
          <w:i/>
          <w:sz w:val="22"/>
          <w:szCs w:val="22"/>
          <w:lang w:val="en-US"/>
        </w:rPr>
        <w:t>‘It is not clear to me why this hasn’t been forthcoming.’</w:t>
      </w:r>
      <w:r w:rsidRPr="003A5243">
        <w:rPr>
          <w:rFonts w:ascii="Calibri" w:hAnsi="Calibri" w:cs="Calibri"/>
          <w:sz w:val="22"/>
          <w:szCs w:val="22"/>
          <w:lang w:val="en-US"/>
        </w:rPr>
        <w:t xml:space="preserve">  Such research will be critical in preventing future harm and we strongly support this suggestion.</w:t>
      </w:r>
    </w:p>
    <w:p w:rsidR="00331E13" w:rsidRDefault="00331E13" w:rsidP="00A179B8">
      <w:pPr>
        <w:rPr>
          <w:b/>
          <w:sz w:val="22"/>
          <w:szCs w:val="22"/>
        </w:rPr>
      </w:pPr>
    </w:p>
    <w:p w:rsidR="004A1D48" w:rsidRDefault="004A1D48" w:rsidP="00A179B8">
      <w:pPr>
        <w:rPr>
          <w:sz w:val="22"/>
          <w:szCs w:val="22"/>
        </w:rPr>
      </w:pPr>
      <w:r>
        <w:rPr>
          <w:sz w:val="22"/>
          <w:szCs w:val="22"/>
        </w:rPr>
        <w:t xml:space="preserve">We believe that there is no longer any rationale for differentiating regulation of land-based and online products, and therefore call for parity for stakes and limits in all formats. </w:t>
      </w:r>
    </w:p>
    <w:p w:rsidR="001A7097" w:rsidRDefault="001A7097" w:rsidP="00A179B8">
      <w:pPr>
        <w:rPr>
          <w:b/>
          <w:sz w:val="22"/>
          <w:szCs w:val="22"/>
        </w:rPr>
      </w:pPr>
    </w:p>
    <w:p w:rsidR="001F2AE0" w:rsidRPr="001F2AE0" w:rsidRDefault="00D566D6" w:rsidP="001F2AE0">
      <w:pPr>
        <w:pStyle w:val="ecxmsonormal"/>
        <w:numPr>
          <w:ilvl w:val="0"/>
          <w:numId w:val="4"/>
        </w:numPr>
        <w:spacing w:after="120"/>
        <w:ind w:left="425" w:hanging="425"/>
        <w:jc w:val="both"/>
        <w:rPr>
          <w:rFonts w:asciiTheme="minorHAnsi" w:hAnsiTheme="minorHAnsi" w:cstheme="minorHAnsi"/>
          <w:b/>
          <w:sz w:val="22"/>
          <w:szCs w:val="22"/>
          <w:lang w:val="en-US"/>
        </w:rPr>
      </w:pPr>
      <w:r w:rsidRPr="001F2AE0">
        <w:rPr>
          <w:rFonts w:asciiTheme="minorHAnsi" w:hAnsiTheme="minorHAnsi" w:cstheme="minorHAnsi"/>
          <w:b/>
          <w:sz w:val="22"/>
          <w:szCs w:val="22"/>
          <w:lang w:val="en-US"/>
        </w:rPr>
        <w:t>CONCLUDING COMMENTS</w:t>
      </w:r>
    </w:p>
    <w:p w:rsidR="00A64CF2" w:rsidRPr="0074546A" w:rsidRDefault="00A64CF2" w:rsidP="00A64CF2">
      <w:pPr>
        <w:jc w:val="both"/>
        <w:rPr>
          <w:sz w:val="22"/>
          <w:szCs w:val="22"/>
        </w:rPr>
      </w:pPr>
      <w:r w:rsidRPr="00A64CF2">
        <w:rPr>
          <w:sz w:val="22"/>
          <w:szCs w:val="22"/>
        </w:rPr>
        <w:t>It is clear that public opinion has started to change.  Less than 10% of people questioned in a recent R</w:t>
      </w:r>
      <w:r w:rsidR="003D0FE5">
        <w:rPr>
          <w:sz w:val="22"/>
          <w:szCs w:val="22"/>
        </w:rPr>
        <w:t xml:space="preserve">oyal Society for Public Health </w:t>
      </w:r>
      <w:r w:rsidRPr="00A64CF2">
        <w:rPr>
          <w:sz w:val="22"/>
          <w:szCs w:val="22"/>
        </w:rPr>
        <w:t>poll</w:t>
      </w:r>
      <w:r w:rsidRPr="00A64CF2">
        <w:rPr>
          <w:rStyle w:val="FootnoteReference"/>
          <w:sz w:val="22"/>
          <w:szCs w:val="22"/>
        </w:rPr>
        <w:footnoteReference w:id="19"/>
      </w:r>
      <w:r w:rsidRPr="00A64CF2">
        <w:rPr>
          <w:sz w:val="22"/>
          <w:szCs w:val="22"/>
        </w:rPr>
        <w:t xml:space="preserve"> said that they would oppose a £2 limit to online slots; a ban on VIP schemes; a mandatory levy; and risk assessments for new products.  The majority supported a ban on all gambling advertising in or around sports venues; affordability checks; and a ban on gambling under-18.  </w:t>
      </w:r>
      <w:r w:rsidR="0074546A">
        <w:rPr>
          <w:sz w:val="22"/>
          <w:szCs w:val="22"/>
        </w:rPr>
        <w:t>Meanwhile, p</w:t>
      </w:r>
      <w:r w:rsidRPr="00A64CF2">
        <w:rPr>
          <w:sz w:val="22"/>
          <w:szCs w:val="22"/>
        </w:rPr>
        <w:t xml:space="preserve">ublic trust in gambling continues to fall and </w:t>
      </w:r>
      <w:r w:rsidR="00337CA5">
        <w:rPr>
          <w:sz w:val="22"/>
          <w:szCs w:val="22"/>
        </w:rPr>
        <w:t xml:space="preserve">there is </w:t>
      </w:r>
      <w:r w:rsidRPr="00A64CF2">
        <w:rPr>
          <w:sz w:val="22"/>
          <w:szCs w:val="22"/>
        </w:rPr>
        <w:t>growing con</w:t>
      </w:r>
      <w:r w:rsidR="0074546A">
        <w:rPr>
          <w:sz w:val="22"/>
          <w:szCs w:val="22"/>
        </w:rPr>
        <w:t>cern about its harms: 29% agree</w:t>
      </w:r>
      <w:r w:rsidRPr="00A64CF2">
        <w:rPr>
          <w:sz w:val="22"/>
          <w:szCs w:val="22"/>
        </w:rPr>
        <w:t xml:space="preserve"> that </w:t>
      </w:r>
      <w:r w:rsidRPr="00A64CF2">
        <w:rPr>
          <w:i/>
          <w:sz w:val="22"/>
          <w:szCs w:val="22"/>
        </w:rPr>
        <w:t xml:space="preserve">‘gambling is conducted fairly and can be trusted (down from </w:t>
      </w:r>
      <w:r w:rsidRPr="00A64CF2">
        <w:rPr>
          <w:sz w:val="22"/>
          <w:szCs w:val="22"/>
        </w:rPr>
        <w:t>34% in 2016</w:t>
      </w:r>
      <w:r w:rsidR="00337CA5">
        <w:rPr>
          <w:sz w:val="22"/>
          <w:szCs w:val="22"/>
        </w:rPr>
        <w:t xml:space="preserve">); </w:t>
      </w:r>
      <w:r w:rsidR="00337CA5" w:rsidRPr="00A64CF2">
        <w:rPr>
          <w:sz w:val="22"/>
          <w:szCs w:val="22"/>
        </w:rPr>
        <w:t>74% a</w:t>
      </w:r>
      <w:r w:rsidR="0074546A">
        <w:rPr>
          <w:sz w:val="22"/>
          <w:szCs w:val="22"/>
        </w:rPr>
        <w:t>gree</w:t>
      </w:r>
      <w:r w:rsidR="00337CA5" w:rsidRPr="00A64CF2">
        <w:rPr>
          <w:sz w:val="22"/>
          <w:szCs w:val="22"/>
        </w:rPr>
        <w:t xml:space="preserve"> that </w:t>
      </w:r>
      <w:r w:rsidR="00337CA5" w:rsidRPr="00A64CF2">
        <w:rPr>
          <w:i/>
          <w:sz w:val="22"/>
          <w:szCs w:val="22"/>
        </w:rPr>
        <w:t>‘gambling is dangerous for family life’</w:t>
      </w:r>
      <w:r w:rsidR="00337CA5" w:rsidRPr="00A64CF2">
        <w:rPr>
          <w:sz w:val="22"/>
          <w:szCs w:val="22"/>
        </w:rPr>
        <w:t xml:space="preserve"> (up from 69% in 2016)</w:t>
      </w:r>
      <w:r w:rsidR="00337CA5">
        <w:rPr>
          <w:sz w:val="22"/>
          <w:szCs w:val="22"/>
        </w:rPr>
        <w:t>.</w:t>
      </w:r>
      <w:r w:rsidRPr="00A64CF2">
        <w:rPr>
          <w:rStyle w:val="FootnoteReference"/>
          <w:sz w:val="22"/>
          <w:szCs w:val="22"/>
        </w:rPr>
        <w:footnoteReference w:id="20"/>
      </w:r>
    </w:p>
    <w:p w:rsidR="00A64CF2" w:rsidRDefault="00A64CF2" w:rsidP="001F2AE0">
      <w:pPr>
        <w:pStyle w:val="ecxmsonormal"/>
        <w:spacing w:after="0"/>
        <w:jc w:val="both"/>
        <w:rPr>
          <w:rFonts w:asciiTheme="minorHAnsi" w:hAnsiTheme="minorHAnsi" w:cstheme="minorHAnsi"/>
          <w:sz w:val="22"/>
          <w:szCs w:val="22"/>
          <w:lang w:val="en-US"/>
        </w:rPr>
      </w:pPr>
    </w:p>
    <w:p w:rsidR="001F2AE0" w:rsidRPr="00D534B4" w:rsidRDefault="001F2AE0" w:rsidP="001F2AE0">
      <w:pPr>
        <w:pStyle w:val="ecxmsonormal"/>
        <w:spacing w:after="0"/>
        <w:jc w:val="both"/>
        <w:rPr>
          <w:rFonts w:asciiTheme="minorHAnsi" w:hAnsiTheme="minorHAnsi" w:cstheme="minorHAnsi"/>
          <w:i/>
          <w:sz w:val="22"/>
          <w:szCs w:val="22"/>
          <w:lang w:val="en-US"/>
        </w:rPr>
      </w:pPr>
      <w:r w:rsidRPr="00D534B4">
        <w:rPr>
          <w:rFonts w:asciiTheme="minorHAnsi" w:hAnsiTheme="minorHAnsi" w:cstheme="minorHAnsi"/>
          <w:sz w:val="22"/>
          <w:szCs w:val="22"/>
          <w:lang w:val="en-US"/>
        </w:rPr>
        <w:t xml:space="preserve">At </w:t>
      </w:r>
      <w:r w:rsidRPr="00D534B4">
        <w:rPr>
          <w:rFonts w:asciiTheme="minorHAnsi" w:hAnsiTheme="minorHAnsi" w:cstheme="minorHAnsi"/>
          <w:sz w:val="22"/>
          <w:szCs w:val="22"/>
        </w:rPr>
        <w:t>a recent RSPH webinar</w:t>
      </w:r>
      <w:r w:rsidRPr="00D534B4">
        <w:rPr>
          <w:rStyle w:val="FootnoteReference"/>
          <w:rFonts w:asciiTheme="minorHAnsi" w:hAnsiTheme="minorHAnsi" w:cstheme="minorHAnsi"/>
          <w:sz w:val="22"/>
          <w:szCs w:val="22"/>
        </w:rPr>
        <w:footnoteReference w:id="21"/>
      </w:r>
      <w:r w:rsidRPr="00D534B4">
        <w:rPr>
          <w:rFonts w:asciiTheme="minorHAnsi" w:hAnsiTheme="minorHAnsi" w:cstheme="minorHAnsi"/>
          <w:sz w:val="22"/>
          <w:szCs w:val="22"/>
        </w:rPr>
        <w:t xml:space="preserve">, Hazel Cheeseman (Director of Policy, Action on Smoking and Health) reflected that it had taken 20 years to </w:t>
      </w:r>
      <w:r>
        <w:rPr>
          <w:rFonts w:asciiTheme="minorHAnsi" w:hAnsiTheme="minorHAnsi" w:cstheme="minorHAnsi"/>
          <w:sz w:val="22"/>
          <w:szCs w:val="22"/>
        </w:rPr>
        <w:t>reduce</w:t>
      </w:r>
      <w:r w:rsidRPr="00D534B4">
        <w:rPr>
          <w:rFonts w:asciiTheme="minorHAnsi" w:hAnsiTheme="minorHAnsi" w:cstheme="minorHAnsi"/>
          <w:sz w:val="22"/>
          <w:szCs w:val="22"/>
        </w:rPr>
        <w:t xml:space="preserve"> tobacco</w:t>
      </w:r>
      <w:r>
        <w:rPr>
          <w:rFonts w:asciiTheme="minorHAnsi" w:hAnsiTheme="minorHAnsi" w:cstheme="minorHAnsi"/>
          <w:sz w:val="22"/>
          <w:szCs w:val="22"/>
        </w:rPr>
        <w:t xml:space="preserve"> consumption, despite the</w:t>
      </w:r>
      <w:r w:rsidRPr="00D534B4">
        <w:rPr>
          <w:rFonts w:asciiTheme="minorHAnsi" w:hAnsiTheme="minorHAnsi" w:cstheme="minorHAnsi"/>
          <w:sz w:val="22"/>
          <w:szCs w:val="22"/>
        </w:rPr>
        <w:t xml:space="preserve"> 19</w:t>
      </w:r>
      <w:r>
        <w:rPr>
          <w:rFonts w:asciiTheme="minorHAnsi" w:hAnsiTheme="minorHAnsi" w:cstheme="minorHAnsi"/>
          <w:sz w:val="22"/>
          <w:szCs w:val="22"/>
        </w:rPr>
        <w:t>98 White Paper</w:t>
      </w:r>
      <w:r w:rsidRPr="00D534B4">
        <w:rPr>
          <w:rFonts w:asciiTheme="minorHAnsi" w:hAnsiTheme="minorHAnsi" w:cstheme="minorHAnsi"/>
          <w:sz w:val="22"/>
          <w:szCs w:val="22"/>
        </w:rPr>
        <w:t xml:space="preserve"> ‘Smoking Kills’ </w:t>
      </w:r>
      <w:r>
        <w:rPr>
          <w:rFonts w:asciiTheme="minorHAnsi" w:hAnsiTheme="minorHAnsi" w:cstheme="minorHAnsi"/>
          <w:sz w:val="22"/>
          <w:szCs w:val="22"/>
        </w:rPr>
        <w:t>outlining</w:t>
      </w:r>
      <w:r w:rsidRPr="00D534B4">
        <w:rPr>
          <w:rFonts w:asciiTheme="minorHAnsi" w:hAnsiTheme="minorHAnsi" w:cstheme="minorHAnsi"/>
          <w:sz w:val="22"/>
          <w:szCs w:val="22"/>
        </w:rPr>
        <w:t xml:space="preserve"> clear evidence of the dangers to health </w:t>
      </w:r>
      <w:r>
        <w:rPr>
          <w:rFonts w:asciiTheme="minorHAnsi" w:hAnsiTheme="minorHAnsi" w:cstheme="minorHAnsi"/>
          <w:sz w:val="22"/>
          <w:szCs w:val="22"/>
        </w:rPr>
        <w:t>–</w:t>
      </w:r>
      <w:r w:rsidRPr="00D534B4">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i/>
          <w:sz w:val="22"/>
          <w:szCs w:val="22"/>
        </w:rPr>
        <w:t>e</w:t>
      </w:r>
      <w:r w:rsidRPr="00D534B4">
        <w:rPr>
          <w:rFonts w:asciiTheme="minorHAnsi" w:hAnsiTheme="minorHAnsi" w:cstheme="minorHAnsi"/>
          <w:i/>
          <w:sz w:val="22"/>
          <w:szCs w:val="22"/>
        </w:rPr>
        <w:t>vidence is necessary but it’s not sufficient.’</w:t>
      </w:r>
      <w:r w:rsidR="009F3EAF">
        <w:rPr>
          <w:rFonts w:asciiTheme="minorHAnsi" w:hAnsiTheme="minorHAnsi" w:cstheme="minorHAnsi"/>
          <w:i/>
          <w:sz w:val="22"/>
          <w:szCs w:val="22"/>
        </w:rPr>
        <w:t xml:space="preserve"> </w:t>
      </w:r>
      <w:r w:rsidR="009F3EAF">
        <w:rPr>
          <w:rFonts w:asciiTheme="minorHAnsi" w:hAnsiTheme="minorHAnsi" w:cstheme="minorHAnsi"/>
          <w:sz w:val="22"/>
          <w:szCs w:val="22"/>
        </w:rPr>
        <w:t xml:space="preserve"> She added that ‘</w:t>
      </w:r>
      <w:r w:rsidR="009F3EAF" w:rsidRPr="009F3EAF">
        <w:rPr>
          <w:rFonts w:asciiTheme="minorHAnsi" w:hAnsiTheme="minorHAnsi" w:cstheme="minorHAnsi"/>
          <w:i/>
          <w:sz w:val="22"/>
          <w:szCs w:val="22"/>
        </w:rPr>
        <w:t>big tobacco</w:t>
      </w:r>
      <w:r>
        <w:rPr>
          <w:rFonts w:asciiTheme="minorHAnsi" w:hAnsiTheme="minorHAnsi" w:cstheme="minorHAnsi"/>
          <w:sz w:val="22"/>
          <w:szCs w:val="22"/>
        </w:rPr>
        <w:t xml:space="preserve"> </w:t>
      </w:r>
      <w:r w:rsidR="009F3EAF">
        <w:rPr>
          <w:rFonts w:asciiTheme="minorHAnsi" w:hAnsiTheme="minorHAnsi" w:cstheme="minorHAnsi"/>
          <w:i/>
          <w:sz w:val="22"/>
          <w:szCs w:val="22"/>
        </w:rPr>
        <w:t xml:space="preserve">was </w:t>
      </w:r>
      <w:r w:rsidRPr="00D534B4">
        <w:rPr>
          <w:rFonts w:asciiTheme="minorHAnsi" w:hAnsiTheme="minorHAnsi" w:cstheme="minorHAnsi"/>
          <w:i/>
          <w:sz w:val="22"/>
          <w:szCs w:val="22"/>
        </w:rPr>
        <w:t>not at the table</w:t>
      </w:r>
      <w:r>
        <w:rPr>
          <w:rFonts w:asciiTheme="minorHAnsi" w:hAnsiTheme="minorHAnsi" w:cstheme="minorHAnsi"/>
          <w:i/>
          <w:sz w:val="22"/>
          <w:szCs w:val="22"/>
        </w:rPr>
        <w:t xml:space="preserve">’, </w:t>
      </w:r>
      <w:r w:rsidR="0074546A" w:rsidRPr="0074546A">
        <w:rPr>
          <w:rFonts w:asciiTheme="minorHAnsi" w:hAnsiTheme="minorHAnsi" w:cstheme="minorHAnsi"/>
          <w:sz w:val="22"/>
          <w:szCs w:val="22"/>
        </w:rPr>
        <w:t>thereby</w:t>
      </w:r>
      <w:r w:rsidR="0074546A">
        <w:rPr>
          <w:rFonts w:asciiTheme="minorHAnsi" w:hAnsiTheme="minorHAnsi" w:cstheme="minorHAnsi"/>
          <w:i/>
          <w:sz w:val="22"/>
          <w:szCs w:val="22"/>
        </w:rPr>
        <w:t xml:space="preserve"> </w:t>
      </w:r>
      <w:r w:rsidRPr="00D534B4">
        <w:rPr>
          <w:rFonts w:asciiTheme="minorHAnsi" w:hAnsiTheme="minorHAnsi" w:cstheme="minorHAnsi"/>
          <w:sz w:val="22"/>
          <w:szCs w:val="22"/>
        </w:rPr>
        <w:t>reduc</w:t>
      </w:r>
      <w:r w:rsidR="002E53D6">
        <w:rPr>
          <w:rFonts w:asciiTheme="minorHAnsi" w:hAnsiTheme="minorHAnsi" w:cstheme="minorHAnsi"/>
          <w:sz w:val="22"/>
          <w:szCs w:val="22"/>
        </w:rPr>
        <w:t xml:space="preserve">ing the influence of commercial </w:t>
      </w:r>
      <w:r w:rsidRPr="00D534B4">
        <w:rPr>
          <w:rFonts w:asciiTheme="minorHAnsi" w:hAnsiTheme="minorHAnsi" w:cstheme="minorHAnsi"/>
          <w:sz w:val="22"/>
          <w:szCs w:val="22"/>
        </w:rPr>
        <w:t>int</w:t>
      </w:r>
      <w:r w:rsidR="009F3EAF">
        <w:rPr>
          <w:rFonts w:asciiTheme="minorHAnsi" w:hAnsiTheme="minorHAnsi" w:cstheme="minorHAnsi"/>
          <w:sz w:val="22"/>
          <w:szCs w:val="22"/>
        </w:rPr>
        <w:t xml:space="preserve">erests on </w:t>
      </w:r>
      <w:r w:rsidR="0074546A">
        <w:rPr>
          <w:rFonts w:asciiTheme="minorHAnsi" w:hAnsiTheme="minorHAnsi" w:cstheme="minorHAnsi"/>
          <w:sz w:val="22"/>
          <w:szCs w:val="22"/>
        </w:rPr>
        <w:t xml:space="preserve"> </w:t>
      </w:r>
      <w:r w:rsidR="009F3EAF">
        <w:rPr>
          <w:rFonts w:asciiTheme="minorHAnsi" w:hAnsiTheme="minorHAnsi" w:cstheme="minorHAnsi"/>
          <w:sz w:val="22"/>
          <w:szCs w:val="22"/>
        </w:rPr>
        <w:t xml:space="preserve"> decision-</w:t>
      </w:r>
      <w:r w:rsidRPr="00D534B4">
        <w:rPr>
          <w:rFonts w:asciiTheme="minorHAnsi" w:hAnsiTheme="minorHAnsi" w:cstheme="minorHAnsi"/>
          <w:sz w:val="22"/>
          <w:szCs w:val="22"/>
        </w:rPr>
        <w:t>making.</w:t>
      </w:r>
      <w:r w:rsidR="00BC131F">
        <w:rPr>
          <w:rFonts w:asciiTheme="minorHAnsi" w:hAnsiTheme="minorHAnsi" w:cstheme="minorHAnsi"/>
          <w:sz w:val="22"/>
          <w:szCs w:val="22"/>
        </w:rPr>
        <w:t xml:space="preserve"> </w:t>
      </w:r>
      <w:r w:rsidR="0074546A">
        <w:rPr>
          <w:rFonts w:asciiTheme="minorHAnsi" w:hAnsiTheme="minorHAnsi" w:cstheme="minorHAnsi"/>
          <w:sz w:val="22"/>
          <w:szCs w:val="22"/>
        </w:rPr>
        <w:t xml:space="preserve"> </w:t>
      </w:r>
      <w:r>
        <w:rPr>
          <w:rFonts w:asciiTheme="minorHAnsi" w:hAnsiTheme="minorHAnsi" w:cstheme="minorHAnsi"/>
          <w:sz w:val="22"/>
          <w:szCs w:val="22"/>
        </w:rPr>
        <w:t xml:space="preserve">It </w:t>
      </w:r>
      <w:r w:rsidR="00BC131F">
        <w:rPr>
          <w:rFonts w:asciiTheme="minorHAnsi" w:hAnsiTheme="minorHAnsi" w:cstheme="minorHAnsi"/>
          <w:sz w:val="22"/>
          <w:szCs w:val="22"/>
        </w:rPr>
        <w:t>is</w:t>
      </w:r>
      <w:r>
        <w:rPr>
          <w:rFonts w:asciiTheme="minorHAnsi" w:hAnsiTheme="minorHAnsi" w:cstheme="minorHAnsi"/>
          <w:sz w:val="22"/>
          <w:szCs w:val="22"/>
        </w:rPr>
        <w:t xml:space="preserve"> shocking now to recall the prevalence of tobacco consumption, advertising and sponsorship within living memory.  It is to be hoped that future generations do not look back at the pace of gambling reform with similar dismay. </w:t>
      </w:r>
    </w:p>
    <w:p w:rsidR="00DD16B5" w:rsidRDefault="00DD16B5" w:rsidP="00F5637B">
      <w:pPr>
        <w:pStyle w:val="ecxmsonormal"/>
        <w:spacing w:after="0"/>
        <w:jc w:val="both"/>
        <w:rPr>
          <w:rFonts w:ascii="Calibri" w:hAnsi="Calibri" w:cs="Calibri"/>
          <w:sz w:val="22"/>
          <w:szCs w:val="22"/>
          <w:lang w:val="en-US"/>
        </w:rPr>
      </w:pPr>
    </w:p>
    <w:p w:rsidR="003528AB" w:rsidRPr="003528AB" w:rsidRDefault="00DD16B5" w:rsidP="00F5637B">
      <w:pPr>
        <w:pStyle w:val="ecxmsonormal"/>
        <w:spacing w:after="0"/>
        <w:jc w:val="both"/>
        <w:rPr>
          <w:rFonts w:ascii="Calibri" w:hAnsi="Calibri" w:cs="Calibri"/>
          <w:sz w:val="22"/>
          <w:szCs w:val="22"/>
          <w:lang w:val="en-US"/>
        </w:rPr>
      </w:pPr>
      <w:r>
        <w:rPr>
          <w:rFonts w:ascii="Calibri" w:hAnsi="Calibri" w:cs="Calibri"/>
          <w:sz w:val="22"/>
          <w:szCs w:val="22"/>
          <w:lang w:val="en-US"/>
        </w:rPr>
        <w:t xml:space="preserve">In the final chapter of </w:t>
      </w:r>
      <w:r w:rsidR="003528AB" w:rsidRPr="003528AB">
        <w:rPr>
          <w:rFonts w:ascii="Calibri" w:hAnsi="Calibri" w:cs="Calibri"/>
          <w:i/>
          <w:sz w:val="22"/>
          <w:szCs w:val="22"/>
          <w:lang w:val="en-US"/>
        </w:rPr>
        <w:t>‘The Gambling Establishment – challenging the power of the modern gambling industry and its allies’</w:t>
      </w:r>
      <w:r w:rsidR="003528AB" w:rsidRPr="003528AB">
        <w:rPr>
          <w:rFonts w:ascii="Calibri" w:hAnsi="Calibri" w:cs="Calibri"/>
          <w:sz w:val="22"/>
          <w:szCs w:val="22"/>
          <w:lang w:val="en-US"/>
        </w:rPr>
        <w:t>, Professor</w:t>
      </w:r>
      <w:r>
        <w:rPr>
          <w:rFonts w:ascii="Calibri" w:hAnsi="Calibri" w:cs="Calibri"/>
          <w:sz w:val="22"/>
          <w:szCs w:val="22"/>
          <w:lang w:val="en-US"/>
        </w:rPr>
        <w:t xml:space="preserve"> Jim Orford concludes</w:t>
      </w:r>
      <w:r w:rsidR="003528AB" w:rsidRPr="003528AB">
        <w:rPr>
          <w:rFonts w:ascii="Calibri" w:hAnsi="Calibri" w:cs="Calibri"/>
          <w:sz w:val="22"/>
          <w:szCs w:val="22"/>
          <w:lang w:val="en-US"/>
        </w:rPr>
        <w:t xml:space="preserve">: </w:t>
      </w:r>
    </w:p>
    <w:p w:rsidR="003528AB" w:rsidRDefault="003528AB" w:rsidP="00F5637B">
      <w:pPr>
        <w:pStyle w:val="ecxmsonormal"/>
        <w:spacing w:after="0"/>
        <w:jc w:val="both"/>
        <w:rPr>
          <w:rFonts w:ascii="Calibri" w:hAnsi="Calibri" w:cs="Calibri"/>
          <w:i/>
          <w:sz w:val="22"/>
          <w:szCs w:val="22"/>
          <w:lang w:val="en-US"/>
        </w:rPr>
      </w:pPr>
    </w:p>
    <w:p w:rsidR="00BB517D" w:rsidRPr="00D566D6" w:rsidRDefault="003528AB" w:rsidP="00E17A0D">
      <w:pPr>
        <w:pStyle w:val="ecxmsonormal"/>
        <w:spacing w:after="0"/>
        <w:ind w:left="567" w:right="992"/>
        <w:jc w:val="both"/>
        <w:rPr>
          <w:rFonts w:ascii="Calibri" w:hAnsi="Calibri" w:cs="Calibri"/>
          <w:i/>
          <w:sz w:val="22"/>
          <w:szCs w:val="22"/>
          <w:lang w:val="en-US"/>
        </w:rPr>
      </w:pPr>
      <w:r>
        <w:rPr>
          <w:rFonts w:ascii="Calibri" w:hAnsi="Calibri" w:cs="Calibri"/>
          <w:i/>
          <w:sz w:val="22"/>
          <w:szCs w:val="22"/>
          <w:lang w:val="en-US"/>
        </w:rPr>
        <w:t>‘</w:t>
      </w:r>
      <w:r w:rsidRPr="003528AB">
        <w:rPr>
          <w:rFonts w:ascii="Calibri" w:hAnsi="Calibri" w:cs="Calibri"/>
          <w:i/>
          <w:sz w:val="22"/>
          <w:szCs w:val="22"/>
          <w:lang w:val="en-US"/>
        </w:rPr>
        <w:t>We should all accept some share of the blame for the unthinking way in which gambling has been allowed to expand and put us all in the way of danger. But</w:t>
      </w:r>
      <w:r w:rsidR="004734DE">
        <w:rPr>
          <w:rFonts w:ascii="Calibri" w:hAnsi="Calibri" w:cs="Calibri"/>
          <w:i/>
          <w:sz w:val="22"/>
          <w:szCs w:val="22"/>
          <w:lang w:val="en-US"/>
        </w:rPr>
        <w:t xml:space="preserve"> the harm, and the</w:t>
      </w:r>
      <w:r w:rsidRPr="003528AB">
        <w:rPr>
          <w:rFonts w:ascii="Calibri" w:hAnsi="Calibri" w:cs="Calibri"/>
          <w:i/>
          <w:sz w:val="22"/>
          <w:szCs w:val="22"/>
          <w:lang w:val="en-US"/>
        </w:rPr>
        <w:t xml:space="preserve"> blame and shame which accompany it, are distributed very unequally. We need responsibility to be shared more fairly. We particularly need governments to face up to their responsibility and have a serious rethink about the proper place of gambling in the modern world.’</w:t>
      </w:r>
    </w:p>
    <w:sectPr w:rsidR="00BB517D" w:rsidRPr="00D566D6" w:rsidSect="0011435B">
      <w:footerReference w:type="default" r:id="rId11"/>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6E" w:rsidRDefault="00E7676E" w:rsidP="00590506">
      <w:r>
        <w:separator/>
      </w:r>
    </w:p>
  </w:endnote>
  <w:endnote w:type="continuationSeparator" w:id="1">
    <w:p w:rsidR="00E7676E" w:rsidRDefault="00E7676E" w:rsidP="00590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313"/>
      <w:docPartObj>
        <w:docPartGallery w:val="Page Numbers (Bottom of Page)"/>
        <w:docPartUnique/>
      </w:docPartObj>
    </w:sdtPr>
    <w:sdtContent>
      <w:p w:rsidR="00A005CC" w:rsidRDefault="00A005CC" w:rsidP="00DE5254">
        <w:pPr>
          <w:pStyle w:val="Footer"/>
        </w:pPr>
        <w:r>
          <w:t>Quaker Action on Alcohol &amp; Drugs</w:t>
        </w:r>
        <w:r>
          <w:tab/>
        </w:r>
        <w:fldSimple w:instr=" PAGE   \* MERGEFORMAT ">
          <w:r w:rsidR="00A60C28">
            <w:rPr>
              <w:noProof/>
            </w:rPr>
            <w:t>3</w:t>
          </w:r>
        </w:fldSimple>
      </w:p>
    </w:sdtContent>
  </w:sdt>
  <w:p w:rsidR="00A005CC" w:rsidRDefault="00A00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6E" w:rsidRDefault="00E7676E" w:rsidP="00590506">
      <w:r>
        <w:separator/>
      </w:r>
    </w:p>
  </w:footnote>
  <w:footnote w:type="continuationSeparator" w:id="1">
    <w:p w:rsidR="00E7676E" w:rsidRDefault="00E7676E" w:rsidP="00590506">
      <w:r>
        <w:continuationSeparator/>
      </w:r>
    </w:p>
  </w:footnote>
  <w:footnote w:id="2">
    <w:p w:rsidR="00A005CC" w:rsidRPr="003062B1" w:rsidRDefault="00A005CC">
      <w:pPr>
        <w:pStyle w:val="FootnoteText"/>
      </w:pPr>
      <w:r>
        <w:rPr>
          <w:rStyle w:val="FootnoteReference"/>
        </w:rPr>
        <w:footnoteRef/>
      </w:r>
      <w:r>
        <w:t xml:space="preserve"> </w:t>
      </w:r>
      <w:r w:rsidRPr="003062B1">
        <w:rPr>
          <w:rFonts w:ascii="Calibri" w:hAnsi="Calibri" w:cs="Calibri"/>
          <w:smallCaps w:val="0"/>
          <w:sz w:val="22"/>
          <w:szCs w:val="22"/>
        </w:rPr>
        <w:t>Select Committee on the Social and Economic Impact of the Gambling Industry, July 2020</w:t>
      </w:r>
    </w:p>
  </w:footnote>
  <w:footnote w:id="3">
    <w:p w:rsidR="00A005CC" w:rsidRPr="003062B1" w:rsidRDefault="00A005CC">
      <w:pPr>
        <w:pStyle w:val="FootnoteText"/>
      </w:pPr>
      <w:r>
        <w:rPr>
          <w:rStyle w:val="FootnoteReference"/>
        </w:rPr>
        <w:footnoteRef/>
      </w:r>
      <w:r>
        <w:t xml:space="preserve"> </w:t>
      </w:r>
      <w:r w:rsidRPr="003062B1">
        <w:rPr>
          <w:rFonts w:ascii="Calibri" w:hAnsi="Calibri" w:cs="Calibri"/>
          <w:smallCaps w:val="0"/>
          <w:sz w:val="22"/>
          <w:szCs w:val="22"/>
        </w:rPr>
        <w:t>Gambling Related Harm All Party Parliamentary Group, June 2020</w:t>
      </w:r>
    </w:p>
  </w:footnote>
  <w:footnote w:id="4">
    <w:p w:rsidR="00A005CC" w:rsidRPr="00E25CFF" w:rsidRDefault="00A005CC" w:rsidP="00633422">
      <w:pPr>
        <w:pStyle w:val="FootnoteText"/>
      </w:pPr>
      <w:r>
        <w:rPr>
          <w:rStyle w:val="FootnoteReference"/>
        </w:rPr>
        <w:footnoteRef/>
      </w:r>
      <w:r>
        <w:t xml:space="preserve"> </w:t>
      </w:r>
      <w:hyperlink r:id="rId1" w:history="1">
        <w:r w:rsidRPr="00E25CFF">
          <w:rPr>
            <w:rStyle w:val="Hyperlink"/>
            <w:rFonts w:ascii="Calibri" w:hAnsi="Calibri"/>
            <w:smallCaps w:val="0"/>
          </w:rPr>
          <w:t>file:///C:/Users/User/Desktop/Evidence%20for%20GA%20Review/Orford%20evidence%20to%20Cttee.html</w:t>
        </w:r>
      </w:hyperlink>
    </w:p>
  </w:footnote>
  <w:footnote w:id="5">
    <w:p w:rsidR="00A005CC" w:rsidRPr="00955229" w:rsidRDefault="00A005CC" w:rsidP="00E25CFF">
      <w:pPr>
        <w:pStyle w:val="FootnoteText"/>
        <w:rPr>
          <w:rFonts w:ascii="Calibri" w:hAnsi="Calibri"/>
          <w:smallCaps w:val="0"/>
        </w:rPr>
      </w:pPr>
      <w:r>
        <w:rPr>
          <w:rStyle w:val="FootnoteReference"/>
        </w:rPr>
        <w:footnoteRef/>
      </w:r>
      <w:r>
        <w:t xml:space="preserve"> </w:t>
      </w:r>
      <w:hyperlink r:id="rId2" w:history="1">
        <w:r w:rsidRPr="005C4563">
          <w:rPr>
            <w:rStyle w:val="Hyperlink"/>
            <w:rFonts w:ascii="Calibri" w:hAnsi="Calibri"/>
            <w:smallCaps w:val="0"/>
          </w:rPr>
          <w:t>https://www.gov.uk/government/publications/review-of-the-gambling-act-2005-terms-of-reference-and-call-for-evidence</w:t>
        </w:r>
      </w:hyperlink>
      <w:r>
        <w:rPr>
          <w:rFonts w:ascii="Calibri" w:hAnsi="Calibri"/>
          <w:smallCaps w:val="0"/>
        </w:rPr>
        <w:t xml:space="preserve"> </w:t>
      </w:r>
    </w:p>
  </w:footnote>
  <w:footnote w:id="6">
    <w:p w:rsidR="00A005CC" w:rsidRPr="00767773" w:rsidRDefault="00A005CC" w:rsidP="00830296">
      <w:pPr>
        <w:pStyle w:val="ecxmsonormal"/>
        <w:spacing w:after="0"/>
        <w:jc w:val="both"/>
        <w:rPr>
          <w:rFonts w:ascii="Calibri" w:hAnsi="Calibri" w:cs="Calibri"/>
          <w:sz w:val="22"/>
          <w:szCs w:val="22"/>
          <w:lang w:val="en-US"/>
        </w:rPr>
      </w:pPr>
      <w:r w:rsidRPr="00830296">
        <w:rPr>
          <w:rStyle w:val="FootnoteReference"/>
          <w:rFonts w:asciiTheme="minorHAnsi" w:hAnsiTheme="minorHAnsi" w:cstheme="minorHAnsi"/>
          <w:sz w:val="20"/>
          <w:szCs w:val="20"/>
        </w:rPr>
        <w:footnoteRef/>
      </w:r>
      <w:r>
        <w:t xml:space="preserve"> </w:t>
      </w:r>
      <w:r w:rsidRPr="00830296">
        <w:rPr>
          <w:rFonts w:ascii="Calibri" w:hAnsi="Calibri" w:cs="Calibri"/>
          <w:sz w:val="20"/>
          <w:szCs w:val="20"/>
          <w:lang w:val="en-US"/>
        </w:rPr>
        <w:t>Submission of QAAD to the review of the Gambling Act by the Parliamentary Select Committee on Culture, Media and Sport, 2011</w:t>
      </w:r>
    </w:p>
  </w:footnote>
  <w:footnote w:id="7">
    <w:p w:rsidR="00A005CC" w:rsidRPr="000B7A3F" w:rsidRDefault="00A005CC" w:rsidP="00615142">
      <w:pPr>
        <w:pStyle w:val="FootnoteText"/>
        <w:rPr>
          <w:rFonts w:asciiTheme="minorHAnsi" w:hAnsiTheme="minorHAnsi" w:cstheme="minorHAnsi"/>
          <w:smallCaps w:val="0"/>
        </w:rPr>
      </w:pPr>
      <w:r>
        <w:rPr>
          <w:rStyle w:val="FootnoteReference"/>
        </w:rPr>
        <w:footnoteRef/>
      </w:r>
      <w:hyperlink r:id="rId3" w:history="1">
        <w:r w:rsidRPr="00E019E6">
          <w:rPr>
            <w:rStyle w:val="Hyperlink"/>
            <w:rFonts w:ascii="Calibri" w:hAnsi="Calibri" w:cs="Calibri"/>
            <w:smallCaps w:val="0"/>
          </w:rPr>
          <w:t>file:///C:/Users/User/Desktop/Evidence%20for%20GA%20Review/Wardle%20et%20al%20evidence%20to%20Cttee.html</w:t>
        </w:r>
      </w:hyperlink>
    </w:p>
  </w:footnote>
  <w:footnote w:id="8">
    <w:p w:rsidR="00A005CC" w:rsidRPr="00DA26FC" w:rsidRDefault="00A005CC" w:rsidP="00615142">
      <w:pPr>
        <w:pStyle w:val="FootnoteText"/>
        <w:rPr>
          <w:rFonts w:ascii="Calibri" w:hAnsi="Calibri"/>
          <w:smallCaps w:val="0"/>
        </w:rPr>
      </w:pPr>
      <w:r>
        <w:rPr>
          <w:rStyle w:val="FootnoteReference"/>
        </w:rPr>
        <w:footnoteRef/>
      </w:r>
      <w:r>
        <w:t xml:space="preserve"> </w:t>
      </w:r>
      <w:r>
        <w:rPr>
          <w:rFonts w:ascii="Calibri" w:hAnsi="Calibri"/>
          <w:smallCaps w:val="0"/>
        </w:rPr>
        <w:t>Williams et al. 2015. Quinte longitudinal study of gambling and problem gambling. Ontario: Ontario Problem Gambling Research Center.</w:t>
      </w:r>
    </w:p>
  </w:footnote>
  <w:footnote w:id="9">
    <w:p w:rsidR="00A005CC" w:rsidRPr="00DA26FC" w:rsidRDefault="00A005CC" w:rsidP="00615142">
      <w:pPr>
        <w:pStyle w:val="FootnoteText"/>
        <w:rPr>
          <w:rFonts w:ascii="Calibri" w:hAnsi="Calibri"/>
          <w:smallCaps w:val="0"/>
          <w:lang w:val="en-GB"/>
        </w:rPr>
      </w:pPr>
      <w:r>
        <w:rPr>
          <w:rStyle w:val="FootnoteReference"/>
        </w:rPr>
        <w:footnoteRef/>
      </w:r>
      <w:r>
        <w:t xml:space="preserve"> </w:t>
      </w:r>
      <w:r>
        <w:rPr>
          <w:rFonts w:ascii="Calibri" w:hAnsi="Calibri"/>
          <w:smallCaps w:val="0"/>
        </w:rPr>
        <w:t>Wardle et al. 2018. Measuring gambling-related harms: a framework for action. Gambling Commission: Birmingham.</w:t>
      </w:r>
    </w:p>
  </w:footnote>
  <w:footnote w:id="10">
    <w:p w:rsidR="00A005CC" w:rsidRPr="002A05ED" w:rsidRDefault="00A005CC" w:rsidP="00615142">
      <w:pPr>
        <w:pStyle w:val="FootnoteText"/>
        <w:rPr>
          <w:rFonts w:ascii="Calibri" w:hAnsi="Calibri"/>
          <w:smallCaps w:val="0"/>
        </w:rPr>
      </w:pPr>
      <w:r>
        <w:rPr>
          <w:rStyle w:val="FootnoteReference"/>
        </w:rPr>
        <w:footnoteRef/>
      </w:r>
      <w:hyperlink r:id="rId4" w:history="1">
        <w:r w:rsidRPr="005C4563">
          <w:rPr>
            <w:rStyle w:val="Hyperlink"/>
            <w:rFonts w:ascii="Calibri" w:hAnsi="Calibri"/>
            <w:smallCaps w:val="0"/>
          </w:rPr>
          <w:t>file:///C:/Users/User/Desktop/Evidence%20for%20GA%20Review/Downs%20evidence%20to%20Cttee.html</w:t>
        </w:r>
      </w:hyperlink>
    </w:p>
  </w:footnote>
  <w:footnote w:id="11">
    <w:p w:rsidR="00A005CC" w:rsidRPr="00342611" w:rsidRDefault="00A005CC" w:rsidP="00615142">
      <w:pPr>
        <w:pStyle w:val="FootnoteText"/>
        <w:rPr>
          <w:lang w:val="en-GB"/>
        </w:rPr>
      </w:pPr>
      <w:r>
        <w:rPr>
          <w:rStyle w:val="FootnoteReference"/>
        </w:rPr>
        <w:footnoteRef/>
      </w:r>
      <w:r>
        <w:t xml:space="preserve"> </w:t>
      </w:r>
      <w:hyperlink r:id="rId5" w:history="1">
        <w:r w:rsidRPr="00342611">
          <w:rPr>
            <w:rStyle w:val="Hyperlink"/>
            <w:smallCaps w:val="0"/>
          </w:rPr>
          <w:t>https://www.responsiblegambling.vic.gov.au/getting-help/understanding-gambling/types-of-gambling/the-pokies</w:t>
        </w:r>
      </w:hyperlink>
    </w:p>
  </w:footnote>
  <w:footnote w:id="12">
    <w:p w:rsidR="00A005CC" w:rsidRPr="000646E3" w:rsidRDefault="00A005CC" w:rsidP="00C71CAA">
      <w:pPr>
        <w:pStyle w:val="FootnoteText"/>
        <w:rPr>
          <w:lang w:val="en-GB"/>
        </w:rPr>
      </w:pPr>
      <w:r>
        <w:rPr>
          <w:rStyle w:val="FootnoteReference"/>
        </w:rPr>
        <w:footnoteRef/>
      </w:r>
      <w:r>
        <w:t xml:space="preserve">   </w:t>
      </w:r>
      <w:r w:rsidRPr="00251017">
        <w:rPr>
          <w:rFonts w:ascii="Calibri" w:hAnsi="Calibri"/>
          <w:smallCaps w:val="0"/>
        </w:rPr>
        <w:t>Gambling</w:t>
      </w:r>
      <w:r>
        <w:t xml:space="preserve"> </w:t>
      </w:r>
      <w:r w:rsidRPr="00251017">
        <w:rPr>
          <w:rFonts w:ascii="Calibri" w:hAnsi="Calibri"/>
          <w:smallCaps w:val="0"/>
        </w:rPr>
        <w:t xml:space="preserve">Commission, </w:t>
      </w:r>
      <w:r w:rsidRPr="00251017">
        <w:rPr>
          <w:rStyle w:val="Emphasis"/>
          <w:rFonts w:ascii="Calibri" w:hAnsi="Calibri"/>
          <w:smallCaps w:val="0"/>
        </w:rPr>
        <w:t>Strategy 2018–2021: Making gambling fairer and safer</w:t>
      </w:r>
      <w:r w:rsidRPr="00251017">
        <w:rPr>
          <w:rFonts w:ascii="Calibri" w:hAnsi="Calibri"/>
          <w:smallCaps w:val="0"/>
        </w:rPr>
        <w:t xml:space="preserve"> (November 2017)</w:t>
      </w:r>
      <w:r>
        <w:t xml:space="preserve"> </w:t>
      </w:r>
    </w:p>
  </w:footnote>
  <w:footnote w:id="13">
    <w:p w:rsidR="00A005CC" w:rsidRPr="00993903" w:rsidRDefault="00A005CC" w:rsidP="00C71CAA">
      <w:pPr>
        <w:pStyle w:val="FootnoteText"/>
        <w:rPr>
          <w:smallCaps w:val="0"/>
        </w:rPr>
      </w:pPr>
      <w:r>
        <w:rPr>
          <w:rStyle w:val="FootnoteReference"/>
        </w:rPr>
        <w:footnoteRef/>
      </w:r>
      <w:r w:rsidRPr="00993903">
        <w:t xml:space="preserve"> </w:t>
      </w:r>
      <w:hyperlink r:id="rId6" w:history="1">
        <w:r w:rsidRPr="00A46AA3">
          <w:rPr>
            <w:rStyle w:val="Hyperlink"/>
            <w:rFonts w:asciiTheme="minorHAnsi" w:hAnsiTheme="minorHAnsi" w:cstheme="minorHAnsi"/>
            <w:smallCaps w:val="0"/>
          </w:rPr>
          <w:t>https://www.ippr.org/publications/cards-on-the-table</w:t>
        </w:r>
      </w:hyperlink>
    </w:p>
  </w:footnote>
  <w:footnote w:id="14">
    <w:p w:rsidR="00A005CC" w:rsidRPr="000646E3" w:rsidRDefault="00A005CC" w:rsidP="00C71CAA">
      <w:pPr>
        <w:pStyle w:val="FootnoteText"/>
        <w:tabs>
          <w:tab w:val="left" w:pos="1657"/>
        </w:tabs>
        <w:rPr>
          <w:rFonts w:ascii="Calibri" w:hAnsi="Calibri"/>
          <w:smallCaps w:val="0"/>
          <w:lang w:val="en-GB"/>
        </w:rPr>
      </w:pPr>
      <w:r>
        <w:rPr>
          <w:rStyle w:val="FootnoteReference"/>
        </w:rPr>
        <w:footnoteRef/>
      </w:r>
      <w:r w:rsidRPr="000646E3">
        <w:rPr>
          <w:rFonts w:ascii="Calibri" w:hAnsi="Calibri"/>
          <w:smallCaps w:val="0"/>
          <w:lang w:val="en-GB"/>
        </w:rPr>
        <w:t xml:space="preserve">  Ibid</w:t>
      </w:r>
      <w:r>
        <w:rPr>
          <w:rFonts w:ascii="Calibri" w:hAnsi="Calibri"/>
          <w:smallCaps w:val="0"/>
          <w:lang w:val="en-GB"/>
        </w:rPr>
        <w:tab/>
      </w:r>
    </w:p>
  </w:footnote>
  <w:footnote w:id="15">
    <w:p w:rsidR="00F24362" w:rsidRPr="008936E7" w:rsidRDefault="00F24362" w:rsidP="00F24362">
      <w:pPr>
        <w:pStyle w:val="FootnoteText"/>
      </w:pPr>
      <w:r>
        <w:rPr>
          <w:rStyle w:val="FootnoteReference"/>
        </w:rPr>
        <w:footnoteRef/>
      </w:r>
      <w:r>
        <w:rPr>
          <w:rStyle w:val="FootnoteReference"/>
        </w:rPr>
        <w:footnoteRef/>
      </w:r>
      <w:r>
        <w:t xml:space="preserve"> </w:t>
      </w:r>
      <w:r w:rsidRPr="00EC6B49">
        <w:rPr>
          <w:rFonts w:ascii="Calibri" w:hAnsi="Calibri"/>
          <w:smallCaps w:val="0"/>
        </w:rPr>
        <w:t>Ibid</w:t>
      </w:r>
    </w:p>
  </w:footnote>
  <w:footnote w:id="16">
    <w:p w:rsidR="00F24362" w:rsidRPr="00EC6B49" w:rsidRDefault="00F24362" w:rsidP="00F24362">
      <w:pPr>
        <w:pStyle w:val="FootnoteText"/>
        <w:rPr>
          <w:rFonts w:ascii="Calibri" w:hAnsi="Calibri"/>
          <w:smallCaps w:val="0"/>
        </w:rPr>
      </w:pPr>
      <w:r>
        <w:rPr>
          <w:rStyle w:val="FootnoteReference"/>
        </w:rPr>
        <w:footnoteRef/>
      </w:r>
      <w:r>
        <w:t xml:space="preserve"> </w:t>
      </w:r>
      <w:r w:rsidRPr="00EC6B49">
        <w:rPr>
          <w:rFonts w:ascii="Calibri" w:hAnsi="Calibri"/>
          <w:smallCaps w:val="0"/>
          <w:szCs w:val="22"/>
        </w:rPr>
        <w:t xml:space="preserve">Gambling Commission </w:t>
      </w:r>
      <w:r w:rsidRPr="00EC6B49">
        <w:rPr>
          <w:rFonts w:ascii="Calibri" w:hAnsi="Calibri"/>
          <w:bCs/>
          <w:smallCaps w:val="0"/>
          <w:szCs w:val="22"/>
          <w:lang w:eastAsia="en-GB"/>
        </w:rPr>
        <w:t>Gambling participation among 11-16 year olds in England and Scotland - November 2020</w:t>
      </w:r>
      <w:r w:rsidRPr="00EC6B49">
        <w:rPr>
          <w:rFonts w:ascii="Calibri" w:hAnsi="Calibri"/>
          <w:smallCaps w:val="0"/>
        </w:rPr>
        <w:t xml:space="preserve"> </w:t>
      </w:r>
    </w:p>
  </w:footnote>
  <w:footnote w:id="17">
    <w:p w:rsidR="005E6738" w:rsidRPr="005E6738" w:rsidRDefault="005E6738">
      <w:pPr>
        <w:pStyle w:val="FootnoteText"/>
        <w:rPr>
          <w:rFonts w:ascii="Calibri" w:hAnsi="Calibri"/>
          <w:smallCaps w:val="0"/>
        </w:rPr>
      </w:pPr>
      <w:r>
        <w:rPr>
          <w:rStyle w:val="FootnoteReference"/>
        </w:rPr>
        <w:footnoteRef/>
      </w:r>
      <w:r>
        <w:t xml:space="preserve"> </w:t>
      </w:r>
      <w:hyperlink r:id="rId7" w:history="1">
        <w:r w:rsidRPr="00AF5172">
          <w:rPr>
            <w:rStyle w:val="Hyperlink"/>
            <w:rFonts w:ascii="Calibri" w:hAnsi="Calibri"/>
            <w:smallCaps w:val="0"/>
          </w:rPr>
          <w:t>https://www.begambleaware.org/media/2058/alspac-gambling-study_-report-for-gamble-aware_-july-2019.pdf</w:t>
        </w:r>
      </w:hyperlink>
    </w:p>
  </w:footnote>
  <w:footnote w:id="18">
    <w:p w:rsidR="00A005CC" w:rsidRPr="000E30C8" w:rsidRDefault="00A005CC" w:rsidP="00331E13">
      <w:pPr>
        <w:pStyle w:val="FootnoteText"/>
        <w:rPr>
          <w:rFonts w:ascii="Calibri" w:hAnsi="Calibri"/>
          <w:smallCaps w:val="0"/>
        </w:rPr>
      </w:pPr>
      <w:r>
        <w:rPr>
          <w:rStyle w:val="FootnoteReference"/>
        </w:rPr>
        <w:footnoteRef/>
      </w:r>
      <w:hyperlink r:id="rId8" w:history="1">
        <w:r w:rsidRPr="005F2393">
          <w:rPr>
            <w:rStyle w:val="Hyperlink"/>
            <w:rFonts w:ascii="Calibri" w:hAnsi="Calibri"/>
            <w:smallCaps w:val="0"/>
          </w:rPr>
          <w:t>file:///C:/Users/User/Desktop/Evidence%20for%20GA%20Review/Clark%20evidence%20to%20Cttee.html</w:t>
        </w:r>
      </w:hyperlink>
    </w:p>
  </w:footnote>
  <w:footnote w:id="19">
    <w:p w:rsidR="00A005CC" w:rsidRPr="00A64CF2" w:rsidRDefault="00A005CC" w:rsidP="00A64CF2">
      <w:pPr>
        <w:pStyle w:val="FootnoteText"/>
        <w:rPr>
          <w:rFonts w:ascii="Calibri" w:hAnsi="Calibri"/>
          <w:smallCaps w:val="0"/>
        </w:rPr>
      </w:pPr>
      <w:r>
        <w:rPr>
          <w:rStyle w:val="FootnoteReference"/>
        </w:rPr>
        <w:footnoteRef/>
      </w:r>
      <w:r>
        <w:t xml:space="preserve"> </w:t>
      </w:r>
      <w:hyperlink r:id="rId9" w:history="1">
        <w:r w:rsidRPr="00AF5172">
          <w:rPr>
            <w:rStyle w:val="Hyperlink"/>
            <w:rFonts w:ascii="Calibri" w:hAnsi="Calibri"/>
            <w:smallCaps w:val="0"/>
          </w:rPr>
          <w:t>https://www.rsph.org.uk/about-us/news/overwhelming-public-support-for-action-to-make-gambling-safer.html?utm_campaign=2902346_Gambling%20Health%20alliance%20%20March%20newsletter&amp;utm_medium=email&amp;utm_source=The%20Royal%20Society%20for%20Public%20Health&amp;dm_i=2LGE,1Q7GQ,9GRWGY,5WS7Y,1</w:t>
        </w:r>
      </w:hyperlink>
    </w:p>
  </w:footnote>
  <w:footnote w:id="20">
    <w:p w:rsidR="00A005CC" w:rsidRPr="00A64CF2" w:rsidRDefault="00A005CC" w:rsidP="00A64CF2">
      <w:pPr>
        <w:pStyle w:val="FootnoteText"/>
        <w:rPr>
          <w:rFonts w:ascii="Calibri" w:hAnsi="Calibri"/>
          <w:smallCaps w:val="0"/>
        </w:rPr>
      </w:pPr>
      <w:r>
        <w:rPr>
          <w:rStyle w:val="FootnoteReference"/>
        </w:rPr>
        <w:footnoteRef/>
      </w:r>
      <w:r>
        <w:t xml:space="preserve"> </w:t>
      </w:r>
      <w:hyperlink r:id="rId10" w:anchor="details" w:history="1">
        <w:r w:rsidRPr="00AF5172">
          <w:rPr>
            <w:rStyle w:val="Hyperlink"/>
            <w:rFonts w:ascii="Calibri" w:hAnsi="Calibri"/>
            <w:smallCaps w:val="0"/>
          </w:rPr>
          <w:t>https://beta.gamblingcommission.gov.uk/statistics-and-research/publication/year-to-december-2020#details</w:t>
        </w:r>
      </w:hyperlink>
    </w:p>
  </w:footnote>
  <w:footnote w:id="21">
    <w:p w:rsidR="00A005CC" w:rsidRPr="00D534B4" w:rsidRDefault="00A005CC" w:rsidP="001F2AE0">
      <w:pPr>
        <w:pStyle w:val="FootnoteText"/>
      </w:pPr>
      <w:r>
        <w:rPr>
          <w:rStyle w:val="FootnoteReference"/>
        </w:rPr>
        <w:footnoteRef/>
      </w:r>
      <w:r>
        <w:t xml:space="preserve">  </w:t>
      </w:r>
      <w:r w:rsidRPr="0086184D">
        <w:rPr>
          <w:rFonts w:ascii="Calibri" w:hAnsi="Calibri"/>
          <w:smallCaps w:val="0"/>
        </w:rPr>
        <w:t>Webinar:</w:t>
      </w:r>
      <w:r>
        <w:t xml:space="preserve"> </w:t>
      </w:r>
      <w:r>
        <w:rPr>
          <w:rFonts w:ascii="Calibri" w:hAnsi="Calibri"/>
          <w:smallCaps w:val="0"/>
        </w:rPr>
        <w:t>Gambling and Public Health, 4 March 2021, Gambling Related Harm APPG/RSPH/Peers for Gambling Reform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A10"/>
    <w:multiLevelType w:val="multilevel"/>
    <w:tmpl w:val="062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577C"/>
    <w:multiLevelType w:val="hybridMultilevel"/>
    <w:tmpl w:val="E892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669AC"/>
    <w:multiLevelType w:val="hybridMultilevel"/>
    <w:tmpl w:val="6C04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33260"/>
    <w:multiLevelType w:val="hybridMultilevel"/>
    <w:tmpl w:val="6ED6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07545"/>
    <w:multiLevelType w:val="hybridMultilevel"/>
    <w:tmpl w:val="7318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80401"/>
    <w:multiLevelType w:val="hybridMultilevel"/>
    <w:tmpl w:val="7AF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3366E"/>
    <w:multiLevelType w:val="multilevel"/>
    <w:tmpl w:val="97422B5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34D2C4B"/>
    <w:multiLevelType w:val="multilevel"/>
    <w:tmpl w:val="0DF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339A"/>
    <w:multiLevelType w:val="hybridMultilevel"/>
    <w:tmpl w:val="A69C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CD2333"/>
    <w:multiLevelType w:val="hybridMultilevel"/>
    <w:tmpl w:val="41CEC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622F4F"/>
    <w:multiLevelType w:val="hybridMultilevel"/>
    <w:tmpl w:val="453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413762"/>
    <w:multiLevelType w:val="hybridMultilevel"/>
    <w:tmpl w:val="DE5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1"/>
  </w:num>
  <w:num w:numId="7">
    <w:abstractNumId w:val="4"/>
  </w:num>
  <w:num w:numId="8">
    <w:abstractNumId w:val="10"/>
  </w:num>
  <w:num w:numId="9">
    <w:abstractNumId w:val="3"/>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635"/>
    <w:rsid w:val="00002215"/>
    <w:rsid w:val="000022CB"/>
    <w:rsid w:val="00012DEA"/>
    <w:rsid w:val="00013F3A"/>
    <w:rsid w:val="000162A6"/>
    <w:rsid w:val="00021573"/>
    <w:rsid w:val="00024301"/>
    <w:rsid w:val="00025635"/>
    <w:rsid w:val="00034267"/>
    <w:rsid w:val="000410BD"/>
    <w:rsid w:val="00046CFB"/>
    <w:rsid w:val="000C756F"/>
    <w:rsid w:val="000C7A34"/>
    <w:rsid w:val="000E70BF"/>
    <w:rsid w:val="000F2DE7"/>
    <w:rsid w:val="000F4C26"/>
    <w:rsid w:val="000F5099"/>
    <w:rsid w:val="00106279"/>
    <w:rsid w:val="001132DA"/>
    <w:rsid w:val="0011435B"/>
    <w:rsid w:val="001530F3"/>
    <w:rsid w:val="00160F17"/>
    <w:rsid w:val="00161894"/>
    <w:rsid w:val="0019640A"/>
    <w:rsid w:val="001A7097"/>
    <w:rsid w:val="001C35A3"/>
    <w:rsid w:val="001C3F53"/>
    <w:rsid w:val="001C544E"/>
    <w:rsid w:val="001D4715"/>
    <w:rsid w:val="001F2AE0"/>
    <w:rsid w:val="0020549A"/>
    <w:rsid w:val="00223890"/>
    <w:rsid w:val="0024039C"/>
    <w:rsid w:val="00254BBD"/>
    <w:rsid w:val="00260D46"/>
    <w:rsid w:val="0026210F"/>
    <w:rsid w:val="002624AA"/>
    <w:rsid w:val="00297C41"/>
    <w:rsid w:val="002A05ED"/>
    <w:rsid w:val="002A7B72"/>
    <w:rsid w:val="002B3283"/>
    <w:rsid w:val="002E53D6"/>
    <w:rsid w:val="002E623D"/>
    <w:rsid w:val="003062B1"/>
    <w:rsid w:val="00331E13"/>
    <w:rsid w:val="00337CA5"/>
    <w:rsid w:val="00342611"/>
    <w:rsid w:val="003528AB"/>
    <w:rsid w:val="003626CF"/>
    <w:rsid w:val="00362BB3"/>
    <w:rsid w:val="00376B71"/>
    <w:rsid w:val="003A5243"/>
    <w:rsid w:val="003B3A0E"/>
    <w:rsid w:val="003C0F7C"/>
    <w:rsid w:val="003D0FE5"/>
    <w:rsid w:val="004467CD"/>
    <w:rsid w:val="004469E7"/>
    <w:rsid w:val="00457B92"/>
    <w:rsid w:val="00471960"/>
    <w:rsid w:val="00472814"/>
    <w:rsid w:val="004734DE"/>
    <w:rsid w:val="00480620"/>
    <w:rsid w:val="00484B65"/>
    <w:rsid w:val="0049226E"/>
    <w:rsid w:val="004A1673"/>
    <w:rsid w:val="004A1D48"/>
    <w:rsid w:val="004B43AB"/>
    <w:rsid w:val="004B58C0"/>
    <w:rsid w:val="004E7EEC"/>
    <w:rsid w:val="004F1F26"/>
    <w:rsid w:val="00502B3B"/>
    <w:rsid w:val="00507BBD"/>
    <w:rsid w:val="00516E69"/>
    <w:rsid w:val="00526D51"/>
    <w:rsid w:val="005471FC"/>
    <w:rsid w:val="00550712"/>
    <w:rsid w:val="00552D2F"/>
    <w:rsid w:val="00561BDF"/>
    <w:rsid w:val="005663FB"/>
    <w:rsid w:val="005703B5"/>
    <w:rsid w:val="005766AE"/>
    <w:rsid w:val="00590506"/>
    <w:rsid w:val="005A056C"/>
    <w:rsid w:val="005A33B2"/>
    <w:rsid w:val="005B4CAC"/>
    <w:rsid w:val="005B716E"/>
    <w:rsid w:val="005C6ECF"/>
    <w:rsid w:val="005E0D5F"/>
    <w:rsid w:val="005E6738"/>
    <w:rsid w:val="006002A5"/>
    <w:rsid w:val="00600637"/>
    <w:rsid w:val="00605F22"/>
    <w:rsid w:val="0060665A"/>
    <w:rsid w:val="00615142"/>
    <w:rsid w:val="00616322"/>
    <w:rsid w:val="00633422"/>
    <w:rsid w:val="00635E3C"/>
    <w:rsid w:val="006401D7"/>
    <w:rsid w:val="0065608C"/>
    <w:rsid w:val="00684A86"/>
    <w:rsid w:val="006A2A41"/>
    <w:rsid w:val="006A3703"/>
    <w:rsid w:val="006C2855"/>
    <w:rsid w:val="006C29A6"/>
    <w:rsid w:val="0072103B"/>
    <w:rsid w:val="00723A16"/>
    <w:rsid w:val="007319DE"/>
    <w:rsid w:val="00741B0A"/>
    <w:rsid w:val="0074546A"/>
    <w:rsid w:val="007552DC"/>
    <w:rsid w:val="0076100D"/>
    <w:rsid w:val="00764E95"/>
    <w:rsid w:val="00767773"/>
    <w:rsid w:val="00786DA1"/>
    <w:rsid w:val="00792213"/>
    <w:rsid w:val="007A18CE"/>
    <w:rsid w:val="007C0797"/>
    <w:rsid w:val="007E11D1"/>
    <w:rsid w:val="007F0F0A"/>
    <w:rsid w:val="007F2CF8"/>
    <w:rsid w:val="00820F1D"/>
    <w:rsid w:val="0082205D"/>
    <w:rsid w:val="00822A09"/>
    <w:rsid w:val="00830296"/>
    <w:rsid w:val="00840C29"/>
    <w:rsid w:val="008420F7"/>
    <w:rsid w:val="0086184D"/>
    <w:rsid w:val="008715D3"/>
    <w:rsid w:val="008936E7"/>
    <w:rsid w:val="00893D85"/>
    <w:rsid w:val="00895BA5"/>
    <w:rsid w:val="0095398B"/>
    <w:rsid w:val="00955229"/>
    <w:rsid w:val="009A41DA"/>
    <w:rsid w:val="009A571B"/>
    <w:rsid w:val="009B1CFC"/>
    <w:rsid w:val="009F0173"/>
    <w:rsid w:val="009F177C"/>
    <w:rsid w:val="009F3EAF"/>
    <w:rsid w:val="00A005CC"/>
    <w:rsid w:val="00A02B5F"/>
    <w:rsid w:val="00A171FB"/>
    <w:rsid w:val="00A179B8"/>
    <w:rsid w:val="00A2675C"/>
    <w:rsid w:val="00A365EC"/>
    <w:rsid w:val="00A43110"/>
    <w:rsid w:val="00A46AA3"/>
    <w:rsid w:val="00A60C28"/>
    <w:rsid w:val="00A64CF2"/>
    <w:rsid w:val="00A65984"/>
    <w:rsid w:val="00A90106"/>
    <w:rsid w:val="00A93911"/>
    <w:rsid w:val="00A968DF"/>
    <w:rsid w:val="00AA2D3C"/>
    <w:rsid w:val="00AB27CF"/>
    <w:rsid w:val="00AB48A4"/>
    <w:rsid w:val="00AC53A2"/>
    <w:rsid w:val="00AC6E34"/>
    <w:rsid w:val="00AD1197"/>
    <w:rsid w:val="00B10B0A"/>
    <w:rsid w:val="00B173E7"/>
    <w:rsid w:val="00B36AA6"/>
    <w:rsid w:val="00B37A9E"/>
    <w:rsid w:val="00B85623"/>
    <w:rsid w:val="00B9772B"/>
    <w:rsid w:val="00BB2ACF"/>
    <w:rsid w:val="00BB517D"/>
    <w:rsid w:val="00BC131F"/>
    <w:rsid w:val="00C03291"/>
    <w:rsid w:val="00C204F0"/>
    <w:rsid w:val="00C34FD9"/>
    <w:rsid w:val="00C71CAA"/>
    <w:rsid w:val="00C86E6B"/>
    <w:rsid w:val="00CC4916"/>
    <w:rsid w:val="00CC5F7D"/>
    <w:rsid w:val="00CD7124"/>
    <w:rsid w:val="00CE4B8B"/>
    <w:rsid w:val="00CF6E1A"/>
    <w:rsid w:val="00D17D53"/>
    <w:rsid w:val="00D215A0"/>
    <w:rsid w:val="00D27A16"/>
    <w:rsid w:val="00D3024A"/>
    <w:rsid w:val="00D52EEE"/>
    <w:rsid w:val="00D534B4"/>
    <w:rsid w:val="00D566D6"/>
    <w:rsid w:val="00D60511"/>
    <w:rsid w:val="00D63A04"/>
    <w:rsid w:val="00DC46AB"/>
    <w:rsid w:val="00DD16B5"/>
    <w:rsid w:val="00DE5254"/>
    <w:rsid w:val="00E17A0D"/>
    <w:rsid w:val="00E25CFF"/>
    <w:rsid w:val="00E27BAE"/>
    <w:rsid w:val="00E36DF3"/>
    <w:rsid w:val="00E45290"/>
    <w:rsid w:val="00E51D8C"/>
    <w:rsid w:val="00E57560"/>
    <w:rsid w:val="00E7367B"/>
    <w:rsid w:val="00E7676E"/>
    <w:rsid w:val="00EB6168"/>
    <w:rsid w:val="00EC6B49"/>
    <w:rsid w:val="00ED3A71"/>
    <w:rsid w:val="00EE7F1C"/>
    <w:rsid w:val="00EF4B67"/>
    <w:rsid w:val="00F019A1"/>
    <w:rsid w:val="00F11B3C"/>
    <w:rsid w:val="00F24362"/>
    <w:rsid w:val="00F550DB"/>
    <w:rsid w:val="00F5637B"/>
    <w:rsid w:val="00F56E87"/>
    <w:rsid w:val="00F7366C"/>
    <w:rsid w:val="00F84678"/>
    <w:rsid w:val="00F9689C"/>
    <w:rsid w:val="00F97FE5"/>
    <w:rsid w:val="00FB2A58"/>
    <w:rsid w:val="00FC618F"/>
    <w:rsid w:val="00FD4538"/>
    <w:rsid w:val="00FE4415"/>
    <w:rsid w:val="00FE7A50"/>
    <w:rsid w:val="00FF0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25635"/>
    <w:pPr>
      <w:suppressAutoHyphens/>
      <w:spacing w:after="324"/>
    </w:pPr>
    <w:rPr>
      <w:rFonts w:ascii="Times New Roman" w:eastAsia="Times New Roman" w:hAnsi="Times New Roman" w:cs="Times New Roman"/>
      <w:sz w:val="24"/>
      <w:szCs w:val="24"/>
      <w:lang w:eastAsia="ar-SA"/>
    </w:rPr>
  </w:style>
  <w:style w:type="character" w:styleId="FootnoteReference">
    <w:name w:val="footnote reference"/>
    <w:rsid w:val="00590506"/>
    <w:rPr>
      <w:vertAlign w:val="superscript"/>
    </w:rPr>
  </w:style>
  <w:style w:type="paragraph" w:styleId="FootnoteText">
    <w:name w:val="footnote text"/>
    <w:basedOn w:val="Normal"/>
    <w:link w:val="FootnoteTextChar"/>
    <w:rsid w:val="00590506"/>
    <w:pPr>
      <w:suppressAutoHyphens/>
    </w:pPr>
    <w:rPr>
      <w:rFonts w:ascii="Calisto MT" w:eastAsia="Times New Roman" w:hAnsi="Calisto MT" w:cs="Calisto MT"/>
      <w:smallCaps/>
      <w:lang w:val="en-US" w:eastAsia="ar-SA"/>
    </w:rPr>
  </w:style>
  <w:style w:type="character" w:customStyle="1" w:styleId="FootnoteTextChar">
    <w:name w:val="Footnote Text Char"/>
    <w:basedOn w:val="DefaultParagraphFont"/>
    <w:link w:val="FootnoteText"/>
    <w:rsid w:val="00590506"/>
    <w:rPr>
      <w:rFonts w:ascii="Calisto MT" w:eastAsia="Times New Roman" w:hAnsi="Calisto MT" w:cs="Calisto MT"/>
      <w:smallCaps/>
      <w:sz w:val="20"/>
      <w:szCs w:val="20"/>
      <w:lang w:val="en-US" w:eastAsia="ar-SA"/>
    </w:rPr>
  </w:style>
  <w:style w:type="paragraph" w:styleId="ListParagraph">
    <w:name w:val="List Paragraph"/>
    <w:basedOn w:val="Normal"/>
    <w:uiPriority w:val="34"/>
    <w:qFormat/>
    <w:rsid w:val="007F0F0A"/>
    <w:pPr>
      <w:ind w:left="720"/>
      <w:contextualSpacing/>
    </w:pPr>
  </w:style>
  <w:style w:type="character" w:styleId="Strong">
    <w:name w:val="Strong"/>
    <w:basedOn w:val="DefaultParagraphFont"/>
    <w:uiPriority w:val="22"/>
    <w:qFormat/>
    <w:rsid w:val="0065608C"/>
    <w:rPr>
      <w:b/>
      <w:bCs/>
    </w:rPr>
  </w:style>
  <w:style w:type="character" w:styleId="Hyperlink">
    <w:name w:val="Hyperlink"/>
    <w:basedOn w:val="DefaultParagraphFont"/>
    <w:uiPriority w:val="99"/>
    <w:unhideWhenUsed/>
    <w:rsid w:val="007E11D1"/>
    <w:rPr>
      <w:color w:val="0000FF" w:themeColor="hyperlink"/>
      <w:u w:val="single"/>
    </w:rPr>
  </w:style>
  <w:style w:type="paragraph" w:styleId="Header">
    <w:name w:val="header"/>
    <w:basedOn w:val="Normal"/>
    <w:link w:val="HeaderChar"/>
    <w:uiPriority w:val="99"/>
    <w:semiHidden/>
    <w:unhideWhenUsed/>
    <w:rsid w:val="00EB6168"/>
    <w:pPr>
      <w:tabs>
        <w:tab w:val="center" w:pos="4513"/>
        <w:tab w:val="right" w:pos="9026"/>
      </w:tabs>
    </w:pPr>
  </w:style>
  <w:style w:type="character" w:customStyle="1" w:styleId="HeaderChar">
    <w:name w:val="Header Char"/>
    <w:basedOn w:val="DefaultParagraphFont"/>
    <w:link w:val="Header"/>
    <w:uiPriority w:val="99"/>
    <w:semiHidden/>
    <w:rsid w:val="00EB6168"/>
  </w:style>
  <w:style w:type="paragraph" w:styleId="Footer">
    <w:name w:val="footer"/>
    <w:basedOn w:val="Normal"/>
    <w:link w:val="FooterChar"/>
    <w:uiPriority w:val="99"/>
    <w:unhideWhenUsed/>
    <w:rsid w:val="00EB6168"/>
    <w:pPr>
      <w:tabs>
        <w:tab w:val="center" w:pos="4513"/>
        <w:tab w:val="right" w:pos="9026"/>
      </w:tabs>
    </w:pPr>
  </w:style>
  <w:style w:type="character" w:customStyle="1" w:styleId="FooterChar">
    <w:name w:val="Footer Char"/>
    <w:basedOn w:val="DefaultParagraphFont"/>
    <w:link w:val="Footer"/>
    <w:uiPriority w:val="99"/>
    <w:rsid w:val="00EB6168"/>
  </w:style>
  <w:style w:type="character" w:styleId="Emphasis">
    <w:name w:val="Emphasis"/>
    <w:basedOn w:val="DefaultParagraphFont"/>
    <w:uiPriority w:val="20"/>
    <w:qFormat/>
    <w:rsid w:val="00A90106"/>
    <w:rPr>
      <w:i/>
      <w:iCs/>
    </w:rPr>
  </w:style>
  <w:style w:type="paragraph" w:customStyle="1" w:styleId="ReturnAddress">
    <w:name w:val="Return Address"/>
    <w:basedOn w:val="Normal"/>
    <w:rsid w:val="00F5637B"/>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rPr>
  </w:style>
  <w:style w:type="character" w:customStyle="1" w:styleId="hgkelc">
    <w:name w:val="hgkelc"/>
    <w:basedOn w:val="DefaultParagraphFont"/>
    <w:rsid w:val="00552D2F"/>
  </w:style>
  <w:style w:type="paragraph" w:styleId="NormalWeb">
    <w:name w:val="Normal (Web)"/>
    <w:basedOn w:val="Normal"/>
    <w:uiPriority w:val="99"/>
    <w:semiHidden/>
    <w:unhideWhenUsed/>
    <w:rsid w:val="004A167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68342944">
      <w:bodyDiv w:val="1"/>
      <w:marLeft w:val="0"/>
      <w:marRight w:val="0"/>
      <w:marTop w:val="0"/>
      <w:marBottom w:val="0"/>
      <w:divBdr>
        <w:top w:val="none" w:sz="0" w:space="0" w:color="auto"/>
        <w:left w:val="none" w:sz="0" w:space="0" w:color="auto"/>
        <w:bottom w:val="none" w:sz="0" w:space="0" w:color="auto"/>
        <w:right w:val="none" w:sz="0" w:space="0" w:color="auto"/>
      </w:divBdr>
    </w:div>
    <w:div w:id="1762527899">
      <w:bodyDiv w:val="1"/>
      <w:marLeft w:val="0"/>
      <w:marRight w:val="0"/>
      <w:marTop w:val="0"/>
      <w:marBottom w:val="0"/>
      <w:divBdr>
        <w:top w:val="none" w:sz="0" w:space="0" w:color="auto"/>
        <w:left w:val="none" w:sz="0" w:space="0" w:color="auto"/>
        <w:bottom w:val="none" w:sz="0" w:space="0" w:color="auto"/>
        <w:right w:val="none" w:sz="0" w:space="0" w:color="auto"/>
      </w:divBdr>
      <w:divsChild>
        <w:div w:id="1718431650">
          <w:marLeft w:val="0"/>
          <w:marRight w:val="0"/>
          <w:marTop w:val="0"/>
          <w:marBottom w:val="0"/>
          <w:divBdr>
            <w:top w:val="none" w:sz="0" w:space="0" w:color="auto"/>
            <w:left w:val="none" w:sz="0" w:space="0" w:color="auto"/>
            <w:bottom w:val="none" w:sz="0" w:space="0" w:color="auto"/>
            <w:right w:val="none" w:sz="0" w:space="0" w:color="auto"/>
          </w:divBdr>
          <w:divsChild>
            <w:div w:id="261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qaa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User/Desktop/Evidence%20for%20GA%20Review/Clark%20evidence%20to%20Cttee.html" TargetMode="External"/><Relationship Id="rId3" Type="http://schemas.openxmlformats.org/officeDocument/2006/relationships/hyperlink" Target="file:///C:/Users/User/Desktop/Evidence%20for%20GA%20Review/Wardle%20et%20al%20evidence%20to%20Cttee.html" TargetMode="External"/><Relationship Id="rId7" Type="http://schemas.openxmlformats.org/officeDocument/2006/relationships/hyperlink" Target="https://www.begambleaware.org/media/2058/alspac-gambling-study_-report-for-gamble-aware_-july-2019.pdf" TargetMode="External"/><Relationship Id="rId2" Type="http://schemas.openxmlformats.org/officeDocument/2006/relationships/hyperlink" Target="https://www.gov.uk/government/publications/review-of-the-gambling-act-2005-terms-of-reference-and-call-for-evidence" TargetMode="External"/><Relationship Id="rId1" Type="http://schemas.openxmlformats.org/officeDocument/2006/relationships/hyperlink" Target="file:///C:/Users/User/Desktop/Evidence%20for%20GA%20Review/Orford%20evidence%20to%20Cttee.html" TargetMode="External"/><Relationship Id="rId6" Type="http://schemas.openxmlformats.org/officeDocument/2006/relationships/hyperlink" Target="https://www.ippr.org/publications/cards-on-the-table" TargetMode="External"/><Relationship Id="rId5" Type="http://schemas.openxmlformats.org/officeDocument/2006/relationships/hyperlink" Target="https://www.responsiblegambling.vic.gov.au/getting-help/understanding-gambling/types-of-gambling/the-pokies" TargetMode="External"/><Relationship Id="rId10" Type="http://schemas.openxmlformats.org/officeDocument/2006/relationships/hyperlink" Target="https://beta.gamblingcommission.gov.uk/statistics-and-research/publication/year-to-december-2020" TargetMode="External"/><Relationship Id="rId4" Type="http://schemas.openxmlformats.org/officeDocument/2006/relationships/hyperlink" Target="file:///C:/Users/User/Desktop/Evidence%20for%20GA%20Review/Downs%20evidence%20to%20Cttee.html" TargetMode="External"/><Relationship Id="rId9" Type="http://schemas.openxmlformats.org/officeDocument/2006/relationships/hyperlink" Target="https://www.rsph.org.uk/about-us/news/overwhelming-public-support-for-action-to-make-gambling-safer.html?utm_campaign=2902346_Gambling%20Health%20alliance%20%20March%20newsletter&amp;utm_medium=email&amp;utm_source=The%20Royal%20Society%20for%20Public%20Health&amp;dm_i=2LGE,1Q7GQ,9GRWGY,5WS7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5541-0BD1-4104-94C5-F73C5891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2021-03-26T11:03:00Z</cp:lastPrinted>
  <dcterms:created xsi:type="dcterms:W3CDTF">2021-03-31T09:54:00Z</dcterms:created>
  <dcterms:modified xsi:type="dcterms:W3CDTF">2021-03-31T09:56:00Z</dcterms:modified>
</cp:coreProperties>
</file>